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1200"/>
        <w:gridCol w:w="8160"/>
      </w:tblGrid>
      <w:tr>
        <w:tc>
          <w:tcPr>
            <w:tcW w:type="dxa" w:w="1200"/>
            <w:tcMar>
              <w:top w:type="dxa" w:w="0"/>
              <w:left w:type="dxa" w:w="0"/>
              <w:bottom w:type="dxa" w:w="0"/>
              <w:right w:type="dxa" w:w="120"/>
            </w:tcMar>
            <w:vAlign w:val="center"/>
          </w:tcPr>
          <w:p>
            <w:r>
              <w:drawing>
                <wp:inline distT="0" distB="0" distL="0" distR="0">
                  <wp:extent cx="5143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14350" cy="523875"/>
                          </a:xfrm>
                          <a:prstGeom prst="rect">
                            <a:avLst/>
                          </a:prstGeom>
                        </pic:spPr>
                      </pic:pic>
                    </a:graphicData>
                  </a:graphic>
                </wp:inline>
              </w:drawing>
            </w:r>
          </w:p>
        </w:tc>
        <w:tc>
          <w:tcPr>
            <w:tcW w:type="dxa" w:w="8160"/>
            <w:tcMar>
              <w:top w:type="dxa" w:w="0"/>
              <w:left w:type="dxa" w:w="0"/>
              <w:bottom w:type="dxa" w:w="0"/>
              <w:right w:type="dxa" w:w="0"/>
            </w:tcMar>
            <w:vAlign w:val="center"/>
          </w:tcPr>
          <w:p>
            <w:r>
              <w:rPr>
                <w:rFonts w:ascii="Calibri" w:cs="Calibri" w:eastAsia="Calibri" w:hAnsi="Calibri"/>
                <w:b/>
                <w:bCs/>
                <w:color w:val="1A1A1A"/>
                <w:sz w:val="26"/>
                <w:szCs w:val="26"/>
              </w:rPr>
              <w:t xml:space="preserve">DOBY BAXTER COMPUTING</w:t>
            </w:r>
          </w:p>
        </w:tc>
      </w:tr>
    </w:tbl>
    <w:p>
      <w:r>
        <w:rPr>
          <w:rFonts w:ascii="Calibri" w:hAnsi="Calibri"/>
          <w:b/>
          <w:i w:val="0"/>
          <w:color w:val="1A1A1A"/>
          <w:sz w:val="34"/>
        </w:rPr>
        <w:t>Cancellation, Termination &amp; Right-to-Decline Policy</w:t>
      </w:r>
    </w:p>
    <w:p>
      <w:r>
        <w:rPr>
          <w:rFonts w:ascii="Calibri" w:hAnsi="Calibri"/>
          <w:b w:val="0"/>
          <w:i w:val="0"/>
          <w:color w:val="5A5A5A"/>
          <w:sz w:val="21"/>
        </w:rPr>
        <w:t>Effective date: 30 August 2026 · Version 1.0. This policy sits alongside and expands Section 10 (Term and Termination) of my Terms of Business. It sets out, in plain language, how either of us may pause, cancel, or end an engagement, what happens to fees and deliverables when we do, and the specific circumstances in which I may decline or withdraw from work. It applies to every engagement between Doby Baxter Computing and its clients, alongside the signed Engagement Scope Agreement and the Terms of Business. Where this policy and the Terms of Business differ on cancellation or withdrawal, this policy governs those specifics; the Terms of Business govern everything else.</w:t>
      </w:r>
    </w:p>
    <w:p>
      <w:pPr>
        <w:pStyle w:val="Heading2"/>
      </w:pPr>
      <w:r>
        <w:rPr>
          <w:rFonts w:ascii="Calibri" w:hAnsi="Calibri"/>
          <w:b/>
          <w:i w:val="0"/>
          <w:color w:val="C7761F"/>
          <w:sz w:val="24"/>
        </w:rPr>
        <w:t>1 · BEFORE WORK STARTS — QUOTING AND THE COOLING-OFF WINDOW</w:t>
      </w:r>
    </w:p>
    <w:p>
      <w:r>
        <w:rPr>
          <w:rFonts w:ascii="Calibri" w:hAnsi="Calibri"/>
          <w:b w:val="0"/>
          <w:i w:val="0"/>
          <w:color w:val="1A1A1A"/>
          <w:sz w:val="21"/>
        </w:rPr>
        <w:t>Nothing is committed until we have both signed an Engagement Scope Agreement. Up to that point, either of us may walk away at no cost and for any reason. A quote is not a contract, and sending me a completed scope template does not oblige either of us to proceed.</w:t>
      </w:r>
    </w:p>
    <w:p>
      <w:pPr>
        <w:pStyle w:val="ListParagraph"/>
        <w:numPr>
          <w:ilvl w:val="0"/>
          <w:numId w:val="1"/>
        </w:numPr>
      </w:pPr>
      <w:r>
        <w:rPr>
          <w:rFonts w:ascii="Calibri" w:hAnsi="Calibri"/>
          <w:b/>
          <w:i w:val="0"/>
          <w:color w:val="1A1A1A"/>
          <w:sz w:val="21"/>
        </w:rPr>
        <w:t xml:space="preserve">Consumer cooling-off. </w:t>
      </w:r>
      <w:r>
        <w:rPr>
          <w:rFonts w:ascii="Calibri" w:hAnsi="Calibri"/>
          <w:b w:val="0"/>
          <w:i w:val="0"/>
          <w:color w:val="1A1A1A"/>
          <w:sz w:val="21"/>
        </w:rPr>
        <w:t>If you are a consumer — an individual engaging me for purposes outside a business — you have a statutory right under the Consumer Contracts Regulations 2013 to cancel within 14 days of the contract being agreed, at no cost. If you ask me in writing to begin work within that 14-day window and I do, you may owe a proportionate amount for the work completed if you then cancel. This right does not apply to business clients.</w:t>
      </w:r>
    </w:p>
    <w:p>
      <w:pPr>
        <w:pStyle w:val="ListParagraph"/>
        <w:numPr>
          <w:ilvl w:val="0"/>
          <w:numId w:val="1"/>
        </w:numPr>
      </w:pPr>
      <w:r>
        <w:rPr>
          <w:rFonts w:ascii="Calibri" w:hAnsi="Calibri"/>
          <w:b/>
          <w:i w:val="0"/>
          <w:color w:val="1A1A1A"/>
          <w:sz w:val="21"/>
        </w:rPr>
        <w:t xml:space="preserve">Deposit. </w:t>
      </w:r>
      <w:r>
        <w:rPr>
          <w:rFonts w:ascii="Calibri" w:hAnsi="Calibri"/>
          <w:b w:val="0"/>
          <w:i w:val="0"/>
          <w:color w:val="1A1A1A"/>
          <w:sz w:val="21"/>
        </w:rPr>
        <w:t>Where a deposit is payable, it secures your slot in my schedule. It is refundable in full if you cancel before I begin work; once work has started it becomes non-refundable, as set out in Section 6 of the Terms of Business. The deposit amount is fixed during scoping and stated in your Scope Agreement.</w:t>
      </w:r>
    </w:p>
    <w:p>
      <w:pPr>
        <w:pStyle w:val="Heading2"/>
      </w:pPr>
      <w:r>
        <w:rPr>
          <w:rFonts w:ascii="Calibri" w:hAnsi="Calibri"/>
          <w:b/>
          <w:i w:val="0"/>
          <w:color w:val="C7761F"/>
          <w:sz w:val="24"/>
        </w:rPr>
        <w:t>2 · IF YOU ARE NOT HAPPY — HOW TO RAISE IT, AND HOW I RESPOND</w:t>
      </w:r>
    </w:p>
    <w:p>
      <w:r>
        <w:rPr>
          <w:rFonts w:ascii="Calibri" w:hAnsi="Calibri"/>
          <w:b w:val="0"/>
          <w:i w:val="0"/>
          <w:color w:val="1A1A1A"/>
          <w:sz w:val="21"/>
        </w:rPr>
        <w:t>If a deliverable, a direction, or the way the work is going is not what you expected, the fastest route to putting it right is to tell me early. I would always rather hear a concern while the work is fresh than discover it at handover.</w:t>
      </w:r>
    </w:p>
    <w:p>
      <w:pPr>
        <w:pStyle w:val="ListParagraph"/>
        <w:numPr>
          <w:ilvl w:val="0"/>
          <w:numId w:val="1"/>
        </w:numPr>
      </w:pPr>
      <w:r>
        <w:rPr>
          <w:rFonts w:ascii="Calibri" w:hAnsi="Calibri"/>
          <w:b/>
          <w:i w:val="0"/>
          <w:color w:val="1A1A1A"/>
          <w:sz w:val="21"/>
        </w:rPr>
        <w:t xml:space="preserve">Raise it in writing. </w:t>
      </w:r>
      <w:r>
        <w:rPr>
          <w:rFonts w:ascii="Calibri" w:hAnsi="Calibri"/>
          <w:b w:val="0"/>
          <w:i w:val="0"/>
          <w:color w:val="1A1A1A"/>
          <w:sz w:val="21"/>
        </w:rPr>
        <w:t>Email your named concern to baxterdoby@gmail.com. I will acknowledge it within three business days and tell you how and when I will address it.</w:t>
      </w:r>
    </w:p>
    <w:p>
      <w:pPr>
        <w:pStyle w:val="ListParagraph"/>
        <w:numPr>
          <w:ilvl w:val="0"/>
          <w:numId w:val="1"/>
        </w:numPr>
      </w:pPr>
      <w:r>
        <w:rPr>
          <w:rFonts w:ascii="Calibri" w:hAnsi="Calibri"/>
          <w:b/>
          <w:i w:val="0"/>
          <w:color w:val="1A1A1A"/>
          <w:sz w:val="21"/>
        </w:rPr>
        <w:t xml:space="preserve">Rework to the agreed outcome. </w:t>
      </w:r>
      <w:r>
        <w:rPr>
          <w:rFonts w:ascii="Calibri" w:hAnsi="Calibri"/>
          <w:b w:val="0"/>
          <w:i w:val="0"/>
          <w:color w:val="1A1A1A"/>
          <w:sz w:val="21"/>
        </w:rPr>
        <w:t>If a deliverable materially misses what the signed Scope Agreement defined as the outcome, I will rework it to meet that definition at no additional charge. Rework covers meeting the scope we agreed — it does not cover new scope, new systems, or a changed definition of “correct”, which are handled as a change (see Section 4).</w:t>
      </w:r>
    </w:p>
    <w:p>
      <w:pPr>
        <w:pStyle w:val="ListParagraph"/>
        <w:numPr>
          <w:ilvl w:val="0"/>
          <w:numId w:val="1"/>
        </w:numPr>
      </w:pPr>
      <w:r>
        <w:rPr>
          <w:rFonts w:ascii="Calibri" w:hAnsi="Calibri"/>
          <w:b/>
          <w:i w:val="0"/>
          <w:color w:val="1A1A1A"/>
          <w:sz w:val="21"/>
        </w:rPr>
        <w:t xml:space="preserve">Review window. </w:t>
      </w:r>
      <w:r>
        <w:rPr>
          <w:rFonts w:ascii="Calibri" w:hAnsi="Calibri"/>
          <w:b w:val="0"/>
          <w:i w:val="0"/>
          <w:color w:val="1A1A1A"/>
          <w:sz w:val="21"/>
        </w:rPr>
        <w:t>Please raise any concern about a specific deliverable within 14 days of receiving it, so I can address it promptly. After that window a deliverable is treated as accepted, though this does not affect your statutory rights.</w:t>
      </w:r>
    </w:p>
    <w:p>
      <w:pPr>
        <w:pStyle w:val="ListParagraph"/>
        <w:numPr>
          <w:ilvl w:val="0"/>
          <w:numId w:val="1"/>
        </w:numPr>
      </w:pPr>
      <w:r>
        <w:rPr>
          <w:rFonts w:ascii="Calibri" w:hAnsi="Calibri"/>
          <w:b/>
          <w:i w:val="0"/>
          <w:color w:val="1A1A1A"/>
          <w:sz w:val="21"/>
        </w:rPr>
        <w:t xml:space="preserve">If we still cannot align. </w:t>
      </w:r>
      <w:r>
        <w:rPr>
          <w:rFonts w:ascii="Calibri" w:hAnsi="Calibri"/>
          <w:b w:val="0"/>
          <w:i w:val="0"/>
          <w:color w:val="1A1A1A"/>
          <w:sz w:val="21"/>
        </w:rPr>
        <w:t>If, after a genuine attempt to put things right, you remain unhappy, you may end the engagement under Section 3 below. You will not be tied into work that is no longer serving you.</w:t>
      </w:r>
    </w:p>
    <w:p>
      <w:pPr>
        <w:pStyle w:val="Heading2"/>
      </w:pPr>
      <w:r>
        <w:rPr>
          <w:rFonts w:ascii="Calibri" w:hAnsi="Calibri"/>
          <w:b/>
          <w:i w:val="0"/>
          <w:color w:val="C7761F"/>
          <w:sz w:val="24"/>
        </w:rPr>
        <w:t>3 · CLIENT CANCELLATION — ENDING AN ENGAGEMENT ALREADY UNDER WAY</w:t>
      </w:r>
    </w:p>
    <w:p>
      <w:pPr>
        <w:pStyle w:val="ListParagraph"/>
        <w:numPr>
          <w:ilvl w:val="0"/>
          <w:numId w:val="1"/>
        </w:numPr>
      </w:pPr>
      <w:r>
        <w:rPr>
          <w:rFonts w:ascii="Calibri" w:hAnsi="Calibri"/>
          <w:b/>
          <w:i w:val="0"/>
          <w:color w:val="1A1A1A"/>
          <w:sz w:val="21"/>
        </w:rPr>
        <w:t xml:space="preserve">Notice. </w:t>
      </w:r>
      <w:r>
        <w:rPr>
          <w:rFonts w:ascii="Calibri" w:hAnsi="Calibri"/>
          <w:b w:val="0"/>
          <w:i w:val="0"/>
          <w:color w:val="1A1A1A"/>
          <w:sz w:val="21"/>
        </w:rPr>
        <w:t>You may end an engagement at any time by giving 14 days’ written notice (email is fine), or immediately if I commit a material breach that I do not remedy within a reasonable period.</w:t>
      </w:r>
    </w:p>
    <w:p>
      <w:pPr>
        <w:pStyle w:val="ListParagraph"/>
        <w:numPr>
          <w:ilvl w:val="0"/>
          <w:numId w:val="1"/>
        </w:numPr>
      </w:pPr>
      <w:r>
        <w:rPr>
          <w:rFonts w:ascii="Calibri" w:hAnsi="Calibri"/>
          <w:b/>
          <w:i w:val="0"/>
          <w:color w:val="1A1A1A"/>
          <w:sz w:val="21"/>
        </w:rPr>
        <w:t xml:space="preserve">Pause instead of cancel. </w:t>
      </w:r>
      <w:r>
        <w:rPr>
          <w:rFonts w:ascii="Calibri" w:hAnsi="Calibri"/>
          <w:b w:val="0"/>
          <w:i w:val="0"/>
          <w:color w:val="1A1A1A"/>
          <w:sz w:val="21"/>
        </w:rPr>
        <w:t>Rather than ending the engagement, you may ask to pause it. I will hold the work and your materials for up to 30 days at no charge; beyond that we either agree a restart date or treat the engagement as ended under this section. Any deposit and work already completed remain payable as below.</w:t>
      </w:r>
    </w:p>
    <w:p>
      <w:pPr>
        <w:pStyle w:val="ListParagraph"/>
        <w:numPr>
          <w:ilvl w:val="0"/>
          <w:numId w:val="1"/>
        </w:numPr>
      </w:pPr>
      <w:r>
        <w:rPr>
          <w:rFonts w:ascii="Calibri" w:hAnsi="Calibri"/>
          <w:b/>
          <w:i w:val="0"/>
          <w:color w:val="1A1A1A"/>
          <w:sz w:val="21"/>
        </w:rPr>
        <w:t xml:space="preserve">What you pay. </w:t>
      </w:r>
      <w:r>
        <w:rPr>
          <w:rFonts w:ascii="Calibri" w:hAnsi="Calibri"/>
          <w:b w:val="0"/>
          <w:i w:val="0"/>
          <w:color w:val="1A1A1A"/>
          <w:sz w:val="21"/>
        </w:rPr>
        <w:t>On cancellation you pay for all work done and every deliverable produced up to the cancellation date, together with any non-refundable deposit and any pre-agreed pass-through costs already committed on your behalf. A fixed-price engagement is pro-rated to the proportion of work completed; a day-rate engagement is charged for time worked.</w:t>
      </w:r>
    </w:p>
    <w:p>
      <w:pPr>
        <w:pStyle w:val="ListParagraph"/>
        <w:numPr>
          <w:ilvl w:val="0"/>
          <w:numId w:val="1"/>
        </w:numPr>
      </w:pPr>
      <w:r>
        <w:rPr>
          <w:rFonts w:ascii="Calibri" w:hAnsi="Calibri"/>
          <w:b/>
          <w:i w:val="0"/>
          <w:color w:val="1A1A1A"/>
          <w:sz w:val="21"/>
        </w:rPr>
        <w:t xml:space="preserve">What you receive. </w:t>
      </w:r>
      <w:r>
        <w:rPr>
          <w:rFonts w:ascii="Calibri" w:hAnsi="Calibri"/>
          <w:b w:val="0"/>
          <w:i w:val="0"/>
          <w:color w:val="1A1A1A"/>
          <w:sz w:val="21"/>
        </w:rPr>
        <w:t>Once the fees due for them are paid, you receive the deliverables produced up to the cancellation date, in the state they had reached, plus a short written summary of where the work stood and anything urgent I had found.</w:t>
      </w:r>
    </w:p>
    <w:p>
      <w:pPr>
        <w:pStyle w:val="ListParagraph"/>
        <w:numPr>
          <w:ilvl w:val="0"/>
          <w:numId w:val="1"/>
        </w:numPr>
      </w:pPr>
      <w:r>
        <w:rPr>
          <w:rFonts w:ascii="Calibri" w:hAnsi="Calibri"/>
          <w:b/>
          <w:i w:val="0"/>
          <w:color w:val="1A1A1A"/>
          <w:sz w:val="21"/>
        </w:rPr>
        <w:t xml:space="preserve">Your data. </w:t>
      </w:r>
      <w:r>
        <w:rPr>
          <w:rFonts w:ascii="Calibri" w:hAnsi="Calibri"/>
          <w:b w:val="0"/>
          <w:i w:val="0"/>
          <w:color w:val="1A1A1A"/>
          <w:sz w:val="21"/>
        </w:rPr>
        <w:t>I return or delete your data in line with the Data Processing Agreement in the Data &amp; Privacy pack, keeping only the signed agreements and invoices I am legally required to retain.</w:t>
      </w:r>
    </w:p>
    <w:p>
      <w:pPr>
        <w:pStyle w:val="Heading2"/>
      </w:pPr>
      <w:r>
        <w:rPr>
          <w:rFonts w:ascii="Calibri" w:hAnsi="Calibri"/>
          <w:b/>
          <w:i w:val="0"/>
          <w:color w:val="C7761F"/>
          <w:sz w:val="24"/>
        </w:rPr>
        <w:t>4 · WHEN I MAY DECLINE OR WITHDRAW — AND WHY</w:t>
      </w:r>
    </w:p>
    <w:p>
      <w:r>
        <w:rPr>
          <w:rFonts w:ascii="Calibri" w:hAnsi="Calibri"/>
          <w:b w:val="0"/>
          <w:i w:val="0"/>
          <w:color w:val="1A1A1A"/>
          <w:sz w:val="21"/>
        </w:rPr>
        <w:t>I take on work I can deliver well, safely, and within boundaries we both understand. The following sets out when I may decline a piece of work or withdraw from an engagement. None of these is used lightly, and in every case I will explain my reason in writing.</w:t>
      </w:r>
    </w:p>
    <w:p>
      <w:pPr>
        <w:pStyle w:val="ListParagraph"/>
        <w:numPr>
          <w:ilvl w:val="0"/>
          <w:numId w:val="1"/>
        </w:numPr>
      </w:pPr>
      <w:r>
        <w:rPr>
          <w:rFonts w:ascii="Calibri" w:hAnsi="Calibri"/>
          <w:b/>
          <w:i w:val="0"/>
          <w:color w:val="1A1A1A"/>
          <w:sz w:val="21"/>
        </w:rPr>
        <w:t xml:space="preserve">Declining before I start. </w:t>
      </w:r>
      <w:r>
        <w:rPr>
          <w:rFonts w:ascii="Calibri" w:hAnsi="Calibri"/>
          <w:b w:val="0"/>
          <w:i w:val="0"/>
          <w:color w:val="1A1A1A"/>
          <w:sz w:val="21"/>
        </w:rPr>
        <w:t>I may decline to quote for, or to sign a Scope Agreement for, any work that falls outside my expertise, that I do not believe can be done safely, or whose outcome and boundaries cannot be defined clearly enough to scope. Declining at this stage costs you nothing.</w:t>
      </w:r>
    </w:p>
    <w:p>
      <w:pPr>
        <w:pStyle w:val="ListParagraph"/>
        <w:numPr>
          <w:ilvl w:val="0"/>
          <w:numId w:val="1"/>
        </w:numPr>
      </w:pPr>
      <w:r>
        <w:rPr>
          <w:rFonts w:ascii="Calibri" w:hAnsi="Calibri"/>
          <w:b/>
          <w:i w:val="0"/>
          <w:color w:val="1A1A1A"/>
          <w:sz w:val="21"/>
        </w:rPr>
        <w:t xml:space="preserve">Scope creep and undefined boundaries. </w:t>
      </w:r>
      <w:r>
        <w:rPr>
          <w:rFonts w:ascii="Calibri" w:hAnsi="Calibri"/>
          <w:b w:val="0"/>
          <w:i w:val="0"/>
          <w:color w:val="1A1A1A"/>
          <w:sz w:val="21"/>
        </w:rPr>
        <w:t>Every engagement is bounded by its signed Scope Agreement; anything not written there is out of scope by default. If the work drifts materially beyond that scope, or the outcome or boundaries cannot be pinned down well enough to work against, I will first propose a written change setting out the revised scope, timeline, and fee. If we cannot agree that change, I may decline the additional work and continue on the original scope — or, where the drift makes the original scope unworkable, withdraw on 14 days’ notice, with you paying for work done to date.</w:t>
      </w:r>
    </w:p>
    <w:p>
      <w:pPr>
        <w:pStyle w:val="ListParagraph"/>
        <w:numPr>
          <w:ilvl w:val="0"/>
          <w:numId w:val="1"/>
        </w:numPr>
      </w:pPr>
      <w:r>
        <w:rPr>
          <w:rFonts w:ascii="Calibri" w:hAnsi="Calibri"/>
          <w:b/>
          <w:i w:val="0"/>
          <w:color w:val="1A1A1A"/>
          <w:sz w:val="21"/>
        </w:rPr>
        <w:t xml:space="preserve">Missing authority, access, or information. </w:t>
      </w:r>
      <w:r>
        <w:rPr>
          <w:rFonts w:ascii="Calibri" w:hAnsi="Calibri"/>
          <w:b w:val="0"/>
          <w:i w:val="0"/>
          <w:color w:val="1A1A1A"/>
          <w:sz w:val="21"/>
        </w:rPr>
        <w:t>If you do not hold, or cannot evidence, authority over a system named in scope, or the access and information the Scope Agreement requires are not provided, I may pause the work. If the gap is not resolved within a reasonable time, I may withdraw. This protects both of us: I do not assess or test systems without proper authorization.</w:t>
      </w:r>
    </w:p>
    <w:p>
      <w:pPr>
        <w:pStyle w:val="ListParagraph"/>
        <w:numPr>
          <w:ilvl w:val="0"/>
          <w:numId w:val="1"/>
        </w:numPr>
      </w:pPr>
      <w:r>
        <w:rPr>
          <w:rFonts w:ascii="Calibri" w:hAnsi="Calibri"/>
          <w:b/>
          <w:i w:val="0"/>
          <w:color w:val="1A1A1A"/>
          <w:sz w:val="21"/>
        </w:rPr>
        <w:t xml:space="preserve">Non-payment. </w:t>
      </w:r>
      <w:r>
        <w:rPr>
          <w:rFonts w:ascii="Calibri" w:hAnsi="Calibri"/>
          <w:b w:val="0"/>
          <w:i w:val="0"/>
          <w:color w:val="1A1A1A"/>
          <w:sz w:val="21"/>
        </w:rPr>
        <w:t>I may pause work while an invoice is overdue and, if it remains unpaid after reasonable notice, withdraw from the engagement. Interest and reasonable recovery costs may apply under the Late Payment of Commercial Debts (Interest) Act 1998, as set out in the Terms of Business.</w:t>
      </w:r>
    </w:p>
    <w:p>
      <w:pPr>
        <w:pStyle w:val="ListParagraph"/>
        <w:numPr>
          <w:ilvl w:val="0"/>
          <w:numId w:val="1"/>
        </w:numPr>
      </w:pPr>
      <w:r>
        <w:rPr>
          <w:rFonts w:ascii="Calibri" w:hAnsi="Calibri"/>
          <w:b/>
          <w:i w:val="0"/>
          <w:color w:val="1A1A1A"/>
          <w:sz w:val="21"/>
        </w:rPr>
        <w:t xml:space="preserve">Unsafe, unlawful, or unethical requests. </w:t>
      </w:r>
      <w:r>
        <w:rPr>
          <w:rFonts w:ascii="Calibri" w:hAnsi="Calibri"/>
          <w:b w:val="0"/>
          <w:i w:val="0"/>
          <w:color w:val="1A1A1A"/>
          <w:sz w:val="21"/>
        </w:rPr>
        <w:t>I will decline any work that would be unlawful, that would require me to run tests or changes against production or third-party systems without proper written authorization, or that would compromise safety, confidentiality, or my professional judgment. Deployment into your live systems is always carried out by your own team, on your decision.</w:t>
      </w:r>
    </w:p>
    <w:p>
      <w:pPr>
        <w:pStyle w:val="ListParagraph"/>
        <w:numPr>
          <w:ilvl w:val="0"/>
          <w:numId w:val="1"/>
        </w:numPr>
      </w:pPr>
      <w:r>
        <w:rPr>
          <w:rFonts w:ascii="Calibri" w:hAnsi="Calibri"/>
          <w:b/>
          <w:i w:val="0"/>
          <w:color w:val="1A1A1A"/>
          <w:sz w:val="21"/>
        </w:rPr>
        <w:t xml:space="preserve">Breakdown of the working relationship. </w:t>
      </w:r>
      <w:r>
        <w:rPr>
          <w:rFonts w:ascii="Calibri" w:hAnsi="Calibri"/>
          <w:b w:val="0"/>
          <w:i w:val="0"/>
          <w:color w:val="1A1A1A"/>
          <w:sz w:val="21"/>
        </w:rPr>
        <w:t>If you commit a material breach of the Terms of Business or this policy that is not remedied within a reasonable period, or if the working relationship breaks down to the point where I can no longer deliver the work properly, I may withdraw on written notice.</w:t>
      </w:r>
    </w:p>
    <w:p>
      <w:pPr>
        <w:pStyle w:val="Heading2"/>
      </w:pPr>
      <w:r>
        <w:rPr>
          <w:rFonts w:ascii="Calibri" w:hAnsi="Calibri"/>
          <w:b/>
          <w:i w:val="0"/>
          <w:color w:val="C7761F"/>
          <w:sz w:val="24"/>
        </w:rPr>
        <w:t>5 · WHAT MY WITHDRAWAL DOES — AND DOES NOT — DO</w:t>
      </w:r>
    </w:p>
    <w:p>
      <w:pPr>
        <w:pStyle w:val="ListParagraph"/>
        <w:numPr>
          <w:ilvl w:val="0"/>
          <w:numId w:val="1"/>
        </w:numPr>
      </w:pPr>
      <w:r>
        <w:rPr>
          <w:rFonts w:ascii="Calibri" w:hAnsi="Calibri"/>
          <w:b/>
          <w:i w:val="0"/>
          <w:color w:val="1A1A1A"/>
          <w:sz w:val="21"/>
        </w:rPr>
        <w:t xml:space="preserve">I will not leave you exposed. </w:t>
      </w:r>
      <w:r>
        <w:rPr>
          <w:rFonts w:ascii="Calibri" w:hAnsi="Calibri"/>
          <w:b w:val="0"/>
          <w:i w:val="0"/>
          <w:color w:val="1A1A1A"/>
          <w:sz w:val="21"/>
        </w:rPr>
        <w:t>When I withdraw, I hand over the work completed to date, flag in writing anything urgent I have found, invoice only for work done, and return or delete your data under the DPA.</w:t>
      </w:r>
    </w:p>
    <w:p>
      <w:pPr>
        <w:pStyle w:val="ListParagraph"/>
        <w:numPr>
          <w:ilvl w:val="0"/>
          <w:numId w:val="1"/>
        </w:numPr>
      </w:pPr>
      <w:r>
        <w:rPr>
          <w:rFonts w:ascii="Calibri" w:hAnsi="Calibri"/>
          <w:b/>
          <w:i w:val="0"/>
          <w:color w:val="1A1A1A"/>
          <w:sz w:val="21"/>
        </w:rPr>
        <w:t xml:space="preserve">Declining extra work is not cancelling the engagement. </w:t>
      </w:r>
      <w:r>
        <w:rPr>
          <w:rFonts w:ascii="Calibri" w:hAnsi="Calibri"/>
          <w:b w:val="0"/>
          <w:i w:val="0"/>
          <w:color w:val="1A1A1A"/>
          <w:sz w:val="21"/>
        </w:rPr>
        <w:t>If I decline work that has crept beyond the signed scope, the original engagement continues on its agreed terms unless the drift has made that original scope genuinely unworkable.</w:t>
      </w:r>
    </w:p>
    <w:p>
      <w:pPr>
        <w:pStyle w:val="ListParagraph"/>
        <w:numPr>
          <w:ilvl w:val="0"/>
          <w:numId w:val="1"/>
        </w:numPr>
      </w:pPr>
      <w:r>
        <w:rPr>
          <w:rFonts w:ascii="Calibri" w:hAnsi="Calibri"/>
          <w:b/>
          <w:i w:val="0"/>
          <w:color w:val="1A1A1A"/>
          <w:sz w:val="21"/>
        </w:rPr>
        <w:t xml:space="preserve">Notice and immediacy. </w:t>
      </w:r>
      <w:r>
        <w:rPr>
          <w:rFonts w:ascii="Calibri" w:hAnsi="Calibri"/>
          <w:b w:val="0"/>
          <w:i w:val="0"/>
          <w:color w:val="1A1A1A"/>
          <w:sz w:val="21"/>
        </w:rPr>
        <w:t>Withdrawal is on 14 days’ written notice, except where the reason is missing authorization, an unlawful or unsafe request, or another matter that cannot wait — in which case I may pause or withdraw immediately to keep both of us protected.</w:t>
      </w:r>
    </w:p>
    <w:p>
      <w:pPr>
        <w:pStyle w:val="Heading2"/>
      </w:pPr>
      <w:r>
        <w:rPr>
          <w:rFonts w:ascii="Calibri" w:hAnsi="Calibri"/>
          <w:b/>
          <w:i w:val="0"/>
          <w:color w:val="C7761F"/>
          <w:sz w:val="24"/>
        </w:rPr>
        <w:t>6 · CANCELLATION AT A GLANCE</w:t>
      </w:r>
    </w:p>
    <w:p>
      <w:r>
        <w:rPr>
          <w:rFonts w:ascii="Calibri" w:hAnsi="Calibri"/>
          <w:b w:val="0"/>
          <w:i w:val="0"/>
          <w:color w:val="1A1A1A"/>
          <w:sz w:val="21"/>
        </w:rPr>
        <w:t xml:space="preserve">This summary is for convenience only; the sections above govern if they differ. </w:t>
      </w:r>
      <w:r>
        <w:rPr>
          <w:rFonts w:ascii="Calibri" w:hAnsi="Calibri"/>
          <w:b/>
          <w:i w:val="0"/>
          <w:color w:val="1A1A1A"/>
          <w:sz w:val="21"/>
        </w:rPr>
        <w:t xml:space="preserve">Before signing: </w:t>
      </w:r>
      <w:r>
        <w:rPr>
          <w:rFonts w:ascii="Calibri" w:hAnsi="Calibri"/>
          <w:b w:val="0"/>
          <w:i w:val="0"/>
          <w:color w:val="1A1A1A"/>
          <w:sz w:val="21"/>
        </w:rPr>
        <w:t xml:space="preserve">either party may walk away, no cost. </w:t>
      </w:r>
      <w:r>
        <w:rPr>
          <w:rFonts w:ascii="Calibri" w:hAnsi="Calibri"/>
          <w:b/>
          <w:i w:val="0"/>
          <w:color w:val="1A1A1A"/>
          <w:sz w:val="21"/>
        </w:rPr>
        <w:t xml:space="preserve">Consumer within 14 days: </w:t>
      </w:r>
      <w:r>
        <w:rPr>
          <w:rFonts w:ascii="Calibri" w:hAnsi="Calibri"/>
          <w:b w:val="0"/>
          <w:i w:val="0"/>
          <w:color w:val="1A1A1A"/>
          <w:sz w:val="21"/>
        </w:rPr>
        <w:t xml:space="preserve">free cancellation, subject to a proportionate charge if work was begun at your request. </w:t>
      </w:r>
      <w:r>
        <w:rPr>
          <w:rFonts w:ascii="Calibri" w:hAnsi="Calibri"/>
          <w:b/>
          <w:i w:val="0"/>
          <w:color w:val="1A1A1A"/>
          <w:sz w:val="21"/>
        </w:rPr>
        <w:t xml:space="preserve">Client cancels after work starts: </w:t>
      </w:r>
      <w:r>
        <w:rPr>
          <w:rFonts w:ascii="Calibri" w:hAnsi="Calibri"/>
          <w:b w:val="0"/>
          <w:i w:val="0"/>
          <w:color w:val="1A1A1A"/>
          <w:sz w:val="21"/>
        </w:rPr>
        <w:t xml:space="preserve">14 days’ notice; pay for work done plus any non-refundable deposit. </w:t>
      </w:r>
      <w:r>
        <w:rPr>
          <w:rFonts w:ascii="Calibri" w:hAnsi="Calibri"/>
          <w:b/>
          <w:i w:val="0"/>
          <w:color w:val="1A1A1A"/>
          <w:sz w:val="21"/>
        </w:rPr>
        <w:t xml:space="preserve">I withdraw: </w:t>
      </w:r>
      <w:r>
        <w:rPr>
          <w:rFonts w:ascii="Calibri" w:hAnsi="Calibri"/>
          <w:b w:val="0"/>
          <w:i w:val="0"/>
          <w:color w:val="1A1A1A"/>
          <w:sz w:val="21"/>
        </w:rPr>
        <w:t xml:space="preserve">written reason and 14 days’ notice (immediate for authorization, legal, or safety reasons); you pay only for work done. </w:t>
      </w:r>
      <w:r>
        <w:rPr>
          <w:rFonts w:ascii="Calibri" w:hAnsi="Calibri"/>
          <w:b/>
          <w:i w:val="0"/>
          <w:color w:val="1A1A1A"/>
          <w:sz w:val="21"/>
        </w:rPr>
        <w:t xml:space="preserve">Either party, material breach: </w:t>
      </w:r>
      <w:r>
        <w:rPr>
          <w:rFonts w:ascii="Calibri" w:hAnsi="Calibri"/>
          <w:b w:val="0"/>
          <w:i w:val="0"/>
          <w:color w:val="1A1A1A"/>
          <w:sz w:val="21"/>
        </w:rPr>
        <w:t xml:space="preserve">immediate termination if not remedied in a reasonable period. </w:t>
      </w:r>
      <w:r>
        <w:rPr>
          <w:rFonts w:ascii="Calibri" w:hAnsi="Calibri"/>
          <w:b/>
          <w:i w:val="0"/>
          <w:color w:val="1A1A1A"/>
          <w:sz w:val="21"/>
        </w:rPr>
        <w:t xml:space="preserve">Data on exit: </w:t>
      </w:r>
      <w:r>
        <w:rPr>
          <w:rFonts w:ascii="Calibri" w:hAnsi="Calibri"/>
          <w:b w:val="0"/>
          <w:i w:val="0"/>
          <w:color w:val="1A1A1A"/>
          <w:sz w:val="21"/>
        </w:rPr>
        <w:t>returned or deleted under the DPA.</w:t>
      </w:r>
    </w:p>
    <w:p>
      <w:pPr>
        <w:pStyle w:val="Heading2"/>
      </w:pPr>
      <w:r>
        <w:rPr>
          <w:rFonts w:ascii="Calibri" w:hAnsi="Calibri"/>
          <w:b/>
          <w:i w:val="0"/>
          <w:color w:val="C7761F"/>
          <w:sz w:val="24"/>
        </w:rPr>
        <w:t>7 · HOW TO CANCEL — QUICK REFERENCE</w:t>
      </w:r>
    </w:p>
    <w:p>
      <w:pPr>
        <w:pStyle w:val="ListParagraph"/>
        <w:numPr>
          <w:ilvl w:val="0"/>
          <w:numId w:val="1"/>
        </w:numPr>
      </w:pPr>
      <w:r>
        <w:rPr>
          <w:rFonts w:ascii="Calibri" w:hAnsi="Calibri"/>
          <w:b/>
          <w:i w:val="0"/>
          <w:color w:val="1A1A1A"/>
          <w:sz w:val="21"/>
        </w:rPr>
        <w:t xml:space="preserve">To cancel or pause, </w:t>
      </w:r>
      <w:r>
        <w:rPr>
          <w:rFonts w:ascii="Calibri" w:hAnsi="Calibri"/>
          <w:b w:val="0"/>
          <w:i w:val="0"/>
          <w:color w:val="1A1A1A"/>
          <w:sz w:val="21"/>
        </w:rPr>
        <w:t>email baxterdoby@gmail.com with the subject “Cancellation — [engagement name]”, stating whether you wish to pause or to end the engagement. I will acknowledge within three business days and send a final position: the work completed, any balance due or refund owed, and how your data will be handled.</w:t>
      </w:r>
    </w:p>
    <w:p>
      <w:pPr>
        <w:pStyle w:val="ListParagraph"/>
        <w:numPr>
          <w:ilvl w:val="0"/>
          <w:numId w:val="1"/>
        </w:numPr>
      </w:pPr>
      <w:r>
        <w:rPr>
          <w:rFonts w:ascii="Calibri" w:hAnsi="Calibri"/>
          <w:b/>
          <w:i w:val="0"/>
          <w:color w:val="1A1A1A"/>
          <w:sz w:val="21"/>
        </w:rPr>
        <w:t xml:space="preserve">If I need to withdraw, </w:t>
      </w:r>
      <w:r>
        <w:rPr>
          <w:rFonts w:ascii="Calibri" w:hAnsi="Calibri"/>
          <w:b w:val="0"/>
          <w:i w:val="0"/>
          <w:color w:val="1A1A1A"/>
          <w:sz w:val="21"/>
        </w:rPr>
        <w:t>I will write to your named contact with my reason, the notice period, an invoice for work done to date, and a short handover summary.</w:t>
      </w:r>
    </w:p>
    <w:p>
      <w:pPr>
        <w:pStyle w:val="Heading2"/>
      </w:pPr>
      <w:r>
        <w:rPr>
          <w:rFonts w:ascii="Calibri" w:hAnsi="Calibri"/>
          <w:b/>
          <w:i w:val="0"/>
          <w:color w:val="C7761F"/>
          <w:sz w:val="24"/>
        </w:rPr>
        <w:t>8 · GOVERNING LAW</w:t>
      </w:r>
    </w:p>
    <w:p>
      <w:r>
        <w:rPr>
          <w:rFonts w:ascii="Calibri" w:hAnsi="Calibri"/>
          <w:b w:val="0"/>
          <w:i w:val="0"/>
          <w:color w:val="1A1A1A"/>
          <w:sz w:val="21"/>
        </w:rPr>
        <w:t>This policy and every engagement it applies to are governed by the laws of England and Wales and are subject to the exclusive jurisdiction of its courts. Nothing in this policy removes or limits any statutory right you have that cannot lawfully be removed or limited, including a consumer’s cancellation rights.</w:t>
      </w:r>
    </w:p>
    <w:p/>
    <w:p>
      <w:r>
        <w:rPr>
          <w:rFonts w:ascii="Calibri" w:hAnsi="Calibri"/>
          <w:b w:val="0"/>
          <w:i/>
          <w:color w:val="5A5A5A"/>
          <w:sz w:val="19"/>
        </w:rPr>
        <w:t>Doby Baxter Computing · reliability engineering, AI-workflow tooling, and forensic reconstruction. This document is provided as part of my standard client pack and is not legal advice.</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9d2f6e5bf05f1af94789325c7724dd80b497cb71.png"/><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Doby Baxter Computing — Terms of Business</dc:title>
  <dc:creator>Doby Baxter Computing</dc:creator>
  <cp:lastModifiedBy>Un-named</cp:lastModifiedBy>
  <cp:revision>1</cp:revision>
  <dcterms:created xsi:type="dcterms:W3CDTF">2026-08-07T21:38:26.634Z</dcterms:created>
  <dcterms:modified xsi:type="dcterms:W3CDTF">2026-08-07T21:38:26.646Z</dcterms:modified>
</cp:coreProperties>
</file>

<file path=docProps/custom.xml><?xml version="1.0" encoding="utf-8"?>
<Properties xmlns="http://schemas.openxmlformats.org/officeDocument/2006/custom-properties" xmlns:vt="http://schemas.openxmlformats.org/officeDocument/2006/docPropsVTypes"/>
</file>