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media/image1.png" ContentType="image/png"/>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tbl>
      <w:tblPr>
        <w:tblW w:w="5000" w:type="pct"/>
        <w:jc w:val="left"/>
        <w:tblInd w:w="0" w:type="dxa"/>
        <w:tblLayout w:type="fixed"/>
        <w:tblCellMar>
          <w:top w:w="0" w:type="dxa"/>
          <w:left w:w="0" w:type="dxa"/>
          <w:bottom w:w="0" w:type="dxa"/>
          <w:right w:w="240" w:type="dxa"/>
        </w:tblCellMar>
      </w:tblPr>
      <w:tblGrid>
        <w:gridCol w:w="1020"/>
        <w:gridCol w:w="8885"/>
      </w:tblGrid>
      <w:tr>
        <w:trPr/>
        <w:tc>
          <w:tcPr>
            <w:tcW w:w="1020" w:type="dxa"/>
            <w:tcBorders/>
            <w:vAlign w:val="center"/>
          </w:tcPr>
          <w:p>
            <w:pPr>
              <w:pStyle w:val="Normal"/>
              <w:spacing w:before="0" w:after="0"/>
              <w:rPr/>
            </w:pPr>
            <w:r>
              <w:rPr/>
              <w:drawing>
                <wp:inline distT="0" distB="0" distL="0" distR="0">
                  <wp:extent cx="495300" cy="504825"/>
                  <wp:effectExtent l="0" t="0" r="0" b="0"/>
                  <wp:docPr id="1" name="Image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 descr=""/>
                          <pic:cNvPicPr>
                            <a:picLocks noChangeAspect="1" noChangeArrowheads="1"/>
                          </pic:cNvPicPr>
                        </pic:nvPicPr>
                        <pic:blipFill>
                          <a:blip r:embed="rId2"/>
                          <a:stretch>
                            <a:fillRect/>
                          </a:stretch>
                        </pic:blipFill>
                        <pic:spPr bwMode="auto">
                          <a:xfrm>
                            <a:off x="0" y="0"/>
                            <a:ext cx="495300" cy="504825"/>
                          </a:xfrm>
                          <a:prstGeom prst="rect">
                            <a:avLst/>
                          </a:prstGeom>
                        </pic:spPr>
                      </pic:pic>
                    </a:graphicData>
                  </a:graphic>
                </wp:inline>
              </w:drawing>
            </w:r>
          </w:p>
        </w:tc>
        <w:tc>
          <w:tcPr>
            <w:tcW w:w="8885" w:type="dxa"/>
            <w:tcBorders/>
            <w:tcMar>
              <w:right w:w="0" w:type="dxa"/>
            </w:tcMar>
            <w:vAlign w:val="center"/>
          </w:tcPr>
          <w:p>
            <w:pPr>
              <w:pStyle w:val="Normal"/>
              <w:spacing w:before="0" w:after="0"/>
              <w:rPr/>
            </w:pPr>
            <w:r>
              <w:rPr>
                <w:rFonts w:eastAsia="Calibri" w:cs="Calibri"/>
                <w:b/>
                <w:bCs/>
                <w:color w:val="1A1A2E"/>
                <w:spacing w:val="20"/>
                <w:sz w:val="26"/>
                <w:szCs w:val="26"/>
              </w:rPr>
              <w:t>DOBY BAXTER COMPUTING</w:t>
            </w:r>
          </w:p>
        </w:tc>
      </w:tr>
    </w:tbl>
    <w:p>
      <w:pPr>
        <w:pStyle w:val="Normal"/>
        <w:pBdr>
          <w:bottom w:val="single" w:sz="18" w:space="8" w:color="E07B00"/>
        </w:pBdr>
        <w:spacing w:before="60" w:after="200"/>
        <w:rPr/>
      </w:pPr>
      <w:r>
        <w:rPr>
          <w:rFonts w:eastAsia="Calibri" w:cs="Calibri"/>
          <w:b/>
          <w:bCs/>
          <w:color w:val="E07B00"/>
          <w:sz w:val="18"/>
          <w:szCs w:val="18"/>
        </w:rPr>
        <w:t>Data &amp; Privacy — Privacy Notice and Data Processing Agreement</w:t>
      </w:r>
    </w:p>
    <w:p>
      <w:pPr>
        <w:pStyle w:val="Normal"/>
        <w:spacing w:lineRule="exact" w:line="268" w:before="0" w:after="140"/>
        <w:rPr/>
      </w:pPr>
      <w:r>
        <w:rPr>
          <w:rFonts w:eastAsia="Calibri" w:cs="Calibri"/>
          <w:i/>
          <w:iCs/>
          <w:color w:val="1A1A2E"/>
          <w:sz w:val="20"/>
          <w:szCs w:val="20"/>
        </w:rPr>
        <w:t xml:space="preserve">Effective date: 7/8/26· Version 1.0. This document sets out how Doby Baxter Computing handles personal data — both as the operator of this website and as a service provider delivering engagements for clients. It has two parts: a Privacy Notice (Part A) and a Data Processing Agreement (Part B).</w:t>
      </w:r>
    </w:p>
    <w:p>
      <w:pPr>
        <w:pStyle w:val="Normal"/>
        <w:pBdr>
          <w:left w:val="single" w:sz="24" w:space="6" w:color="E07B00"/>
        </w:pBdr>
        <w:shd w:val="clear" w:color="auto" w:fill="F3F0EA"/>
        <w:spacing w:before="260" w:after="160"/>
        <w:rPr/>
      </w:pPr>
      <w:r>
        <w:rPr>
          <w:rFonts w:eastAsia="Calibri" w:cs="Calibri"/>
          <w:b/>
          <w:bCs/>
          <w:color w:val="1A1A2E"/>
          <w:sz w:val="24"/>
          <w:szCs w:val="24"/>
        </w:rPr>
        <w:t xml:space="preserve">  Part A — Privacy Notice</w:t>
      </w:r>
    </w:p>
    <w:p>
      <w:pPr>
        <w:pStyle w:val="Normal"/>
        <w:spacing w:before="200" w:after="70"/>
        <w:rPr/>
      </w:pPr>
      <w:r>
        <w:rPr>
          <w:rFonts w:eastAsia="Calibri" w:cs="Calibri"/>
          <w:b/>
          <w:bCs/>
          <w:color w:val="E07B00"/>
          <w:sz w:val="21"/>
          <w:szCs w:val="21"/>
        </w:rPr>
        <w:t>1 · Who I am</w:t>
      </w:r>
    </w:p>
    <w:p>
      <w:pPr>
        <w:pStyle w:val="Normal"/>
        <w:spacing w:lineRule="exact" w:line="264" w:before="0" w:after="120"/>
        <w:rPr/>
      </w:pPr>
      <w:r>
        <w:rPr>
          <w:rFonts w:eastAsia="Calibri" w:cs="Calibri"/>
          <w:b w:val="false"/>
          <w:bCs w:val="false"/>
          <w:color w:val="1A1A2E"/>
          <w:sz w:val="20"/>
          <w:szCs w:val="20"/>
        </w:rPr>
        <w:t>Doby Baxter Computing is a sole-trader business operated by Doby Baxter (“I”, “me”, “my”), based in the United Kingdom. I am the data controller for personal data described in this notice. Doby Baxter Computing is registered with the Information Commissioner’s Office (ICO); the registration number is available on request.</w:t>
      </w:r>
    </w:p>
    <w:p>
      <w:pPr>
        <w:pStyle w:val="Normal"/>
        <w:spacing w:lineRule="exact" w:line="264" w:before="0" w:after="120"/>
        <w:rPr/>
      </w:pPr>
      <w:r>
        <w:rPr>
          <w:rFonts w:eastAsia="Calibri" w:cs="Calibri"/>
          <w:b w:val="false"/>
          <w:bCs w:val="false"/>
          <w:color w:val="1A1A2E"/>
          <w:sz w:val="20"/>
          <w:szCs w:val="20"/>
        </w:rPr>
        <w:t xml:space="preserve">Contact: </w:t>
      </w:r>
      <w:r>
        <w:rPr>
          <w:rFonts w:eastAsia="Calibri" w:cs="Calibri"/>
          <w:i/>
          <w:iCs/>
          <w:color w:val="595959"/>
          <w:sz w:val="20"/>
          <w:szCs w:val="20"/>
        </w:rPr>
        <w:t xml:space="preserve">baxterdoby@gmail.com </w:t>
      </w:r>
    </w:p>
    <w:p>
      <w:pPr>
        <w:pStyle w:val="Normal"/>
        <w:spacing w:before="200" w:after="70"/>
        <w:rPr/>
      </w:pPr>
      <w:r>
        <w:rPr>
          <w:rFonts w:eastAsia="Calibri" w:cs="Calibri"/>
          <w:b/>
          <w:bCs/>
          <w:color w:val="E07B00"/>
          <w:sz w:val="21"/>
          <w:szCs w:val="21"/>
        </w:rPr>
        <w:t>2 · What this notice covers</w:t>
      </w:r>
    </w:p>
    <w:p>
      <w:pPr>
        <w:pStyle w:val="Normal"/>
        <w:spacing w:lineRule="exact" w:line="264" w:before="0" w:after="120"/>
        <w:rPr/>
      </w:pPr>
      <w:r>
        <w:rPr>
          <w:rFonts w:eastAsia="Calibri" w:cs="Calibri"/>
          <w:color w:val="1A1A2E"/>
          <w:sz w:val="20"/>
          <w:szCs w:val="20"/>
        </w:rPr>
        <w:t>This notice covers personal data I process through my website, when you contact me, and while I deliver engagements. Where I process personal data contained within a client’s systems, I do so on the client’s behalf and under their instructions — Part B governs that relationship.</w:t>
      </w:r>
    </w:p>
    <w:p>
      <w:pPr>
        <w:pStyle w:val="Normal"/>
        <w:spacing w:before="200" w:after="70"/>
        <w:rPr/>
      </w:pPr>
      <w:r>
        <w:rPr>
          <w:rFonts w:eastAsia="Calibri" w:cs="Calibri"/>
          <w:b/>
          <w:bCs/>
          <w:color w:val="E07B00"/>
          <w:sz w:val="21"/>
          <w:szCs w:val="21"/>
        </w:rPr>
        <w:t>3 · The personal data I collect</w:t>
      </w:r>
    </w:p>
    <w:p>
      <w:pPr>
        <w:pStyle w:val="ListParagraph"/>
        <w:numPr>
          <w:ilvl w:val="0"/>
          <w:numId w:val="3"/>
        </w:numPr>
        <w:spacing w:lineRule="exact" w:line="260" w:before="0" w:after="70"/>
        <w:rPr/>
      </w:pPr>
      <w:r>
        <w:rPr>
          <w:rFonts w:eastAsia="Calibri" w:cs="Calibri"/>
          <w:b/>
          <w:bCs/>
          <w:color w:val="1A1A2E"/>
          <w:sz w:val="20"/>
          <w:szCs w:val="20"/>
        </w:rPr>
        <w:t xml:space="preserve">Enquiries. </w:t>
      </w:r>
      <w:r>
        <w:rPr>
          <w:rFonts w:eastAsia="Calibri" w:cs="Calibri"/>
          <w:color w:val="1A1A2E"/>
          <w:sz w:val="20"/>
          <w:szCs w:val="20"/>
        </w:rPr>
        <w:t>When you use the contact form or email me, I receive your name or organization, your email address, and the content of your message.</w:t>
      </w:r>
    </w:p>
    <w:p>
      <w:pPr>
        <w:pStyle w:val="ListParagraph"/>
        <w:numPr>
          <w:ilvl w:val="0"/>
          <w:numId w:val="1"/>
        </w:numPr>
        <w:spacing w:lineRule="exact" w:line="260" w:before="0" w:after="70"/>
        <w:rPr/>
      </w:pPr>
      <w:r>
        <w:rPr>
          <w:rFonts w:eastAsia="Calibri" w:cs="Calibri"/>
          <w:b/>
          <w:bCs/>
          <w:color w:val="1A1A2E"/>
          <w:sz w:val="20"/>
          <w:szCs w:val="20"/>
        </w:rPr>
        <w:t xml:space="preserve">Engagements. </w:t>
      </w:r>
      <w:r>
        <w:rPr>
          <w:rFonts w:eastAsia="Calibri" w:cs="Calibri"/>
          <w:color w:val="1A1A2E"/>
          <w:sz w:val="20"/>
          <w:szCs w:val="20"/>
        </w:rPr>
        <w:t>Business contact details of the people I work with, and the billing details needed to raise invoices.</w:t>
      </w:r>
    </w:p>
    <w:p>
      <w:pPr>
        <w:pStyle w:val="ListParagraph"/>
        <w:numPr>
          <w:ilvl w:val="0"/>
          <w:numId w:val="1"/>
        </w:numPr>
        <w:spacing w:lineRule="exact" w:line="260" w:before="0" w:after="70"/>
        <w:rPr/>
      </w:pPr>
      <w:r>
        <w:rPr>
          <w:rFonts w:eastAsia="Calibri" w:cs="Calibri"/>
          <w:b/>
          <w:bCs/>
          <w:color w:val="1A1A2E"/>
          <w:sz w:val="20"/>
          <w:szCs w:val="20"/>
        </w:rPr>
        <w:t xml:space="preserve">Client systems. </w:t>
      </w:r>
      <w:r>
        <w:rPr>
          <w:rFonts w:eastAsia="Calibri" w:cs="Calibri"/>
          <w:color w:val="1A1A2E"/>
          <w:sz w:val="20"/>
          <w:szCs w:val="20"/>
        </w:rPr>
        <w:t>While auditing or validating your systems I may process personal data held within them, on your behalf (see Part B).</w:t>
      </w:r>
    </w:p>
    <w:p>
      <w:pPr>
        <w:pStyle w:val="ListParagraph"/>
        <w:numPr>
          <w:ilvl w:val="0"/>
          <w:numId w:val="1"/>
        </w:numPr>
        <w:spacing w:lineRule="exact" w:line="260" w:before="0" w:after="70"/>
        <w:rPr/>
      </w:pPr>
      <w:r>
        <w:rPr>
          <w:rFonts w:eastAsia="Calibri" w:cs="Calibri"/>
          <w:b/>
          <w:bCs/>
          <w:color w:val="1A1A2E"/>
          <w:sz w:val="20"/>
          <w:szCs w:val="20"/>
        </w:rPr>
        <w:t xml:space="preserve">Website. </w:t>
      </w:r>
      <w:r>
        <w:rPr>
          <w:rFonts w:eastAsia="Calibri" w:cs="Calibri"/>
          <w:color w:val="1A1A2E"/>
          <w:sz w:val="20"/>
          <w:szCs w:val="20"/>
        </w:rPr>
        <w:t>My website does not use advertising or analytics tracking. Form submissions are handled by the provider named in section 5.</w:t>
      </w:r>
    </w:p>
    <w:p>
      <w:pPr>
        <w:pStyle w:val="Normal"/>
        <w:spacing w:before="200" w:after="70"/>
        <w:rPr/>
      </w:pPr>
      <w:r>
        <w:rPr>
          <w:rFonts w:eastAsia="Calibri" w:cs="Calibri"/>
          <w:b/>
          <w:bCs/>
          <w:color w:val="E07B00"/>
          <w:sz w:val="21"/>
          <w:szCs w:val="21"/>
        </w:rPr>
        <w:t>4 · How I use your data, and my lawful bases</w:t>
      </w:r>
    </w:p>
    <w:p>
      <w:pPr>
        <w:pStyle w:val="ListParagraph"/>
        <w:numPr>
          <w:ilvl w:val="0"/>
          <w:numId w:val="1"/>
        </w:numPr>
        <w:spacing w:lineRule="exact" w:line="260" w:before="0" w:after="70"/>
        <w:rPr/>
      </w:pPr>
      <w:r>
        <w:rPr>
          <w:rFonts w:eastAsia="Calibri" w:cs="Calibri"/>
          <w:b/>
          <w:bCs/>
          <w:color w:val="1A1A2E"/>
          <w:sz w:val="20"/>
          <w:szCs w:val="20"/>
        </w:rPr>
        <w:t xml:space="preserve">Responding to enquiries and scoping work — </w:t>
      </w:r>
      <w:r>
        <w:rPr>
          <w:rFonts w:eastAsia="Calibri" w:cs="Calibri"/>
          <w:color w:val="1A1A2E"/>
          <w:sz w:val="20"/>
          <w:szCs w:val="20"/>
        </w:rPr>
        <w:t>my legitimate interest in answering the people who contact me, and taking steps at your request before entering a contract.</w:t>
      </w:r>
    </w:p>
    <w:p>
      <w:pPr>
        <w:pStyle w:val="ListParagraph"/>
        <w:numPr>
          <w:ilvl w:val="0"/>
          <w:numId w:val="1"/>
        </w:numPr>
        <w:spacing w:lineRule="exact" w:line="260" w:before="0" w:after="70"/>
        <w:rPr/>
      </w:pPr>
      <w:r>
        <w:rPr>
          <w:rFonts w:eastAsia="Calibri" w:cs="Calibri"/>
          <w:b/>
          <w:bCs/>
          <w:color w:val="1A1A2E"/>
          <w:sz w:val="20"/>
          <w:szCs w:val="20"/>
        </w:rPr>
        <w:t xml:space="preserve">Delivering engagements and invoicing — </w:t>
      </w:r>
      <w:r>
        <w:rPr>
          <w:rFonts w:eastAsia="Calibri" w:cs="Calibri"/>
          <w:color w:val="1A1A2E"/>
          <w:sz w:val="20"/>
          <w:szCs w:val="20"/>
        </w:rPr>
        <w:t>performance of our contract.</w:t>
      </w:r>
    </w:p>
    <w:p>
      <w:pPr>
        <w:pStyle w:val="ListParagraph"/>
        <w:numPr>
          <w:ilvl w:val="0"/>
          <w:numId w:val="1"/>
        </w:numPr>
        <w:spacing w:lineRule="exact" w:line="260" w:before="0" w:after="70"/>
        <w:rPr/>
      </w:pPr>
      <w:r>
        <w:rPr>
          <w:rFonts w:eastAsia="Calibri" w:cs="Calibri"/>
          <w:b/>
          <w:bCs/>
          <w:color w:val="1A1A2E"/>
          <w:sz w:val="20"/>
          <w:szCs w:val="20"/>
        </w:rPr>
        <w:t xml:space="preserve">Keeping financial and contractual records — </w:t>
      </w:r>
      <w:r>
        <w:rPr>
          <w:rFonts w:eastAsia="Calibri" w:cs="Calibri"/>
          <w:color w:val="1A1A2E"/>
          <w:sz w:val="20"/>
          <w:szCs w:val="20"/>
        </w:rPr>
        <w:t>compliance with my legal obligations under tax and accounting law.</w:t>
      </w:r>
    </w:p>
    <w:p>
      <w:pPr>
        <w:pStyle w:val="Normal"/>
        <w:spacing w:before="200" w:after="70"/>
        <w:rPr/>
      </w:pPr>
      <w:r>
        <w:rPr>
          <w:rFonts w:eastAsia="Calibri" w:cs="Calibri"/>
          <w:b/>
          <w:bCs/>
          <w:color w:val="E07B00"/>
          <w:sz w:val="21"/>
          <w:szCs w:val="21"/>
        </w:rPr>
        <w:t>5 · Who processes data on my behalf</w:t>
      </w:r>
    </w:p>
    <w:p>
      <w:pPr>
        <w:pStyle w:val="Normal"/>
        <w:spacing w:lineRule="exact" w:line="264" w:before="0" w:after="120"/>
        <w:rPr/>
      </w:pPr>
      <w:r>
        <w:rPr>
          <w:rFonts w:eastAsia="Calibri" w:cs="Calibri"/>
          <w:color w:val="1A1A2E"/>
          <w:sz w:val="20"/>
          <w:szCs w:val="20"/>
        </w:rPr>
        <w:t>I keep the list of third parties deliberately short, and add a provider only where it is necessary to run my business:</w:t>
      </w:r>
    </w:p>
    <w:p>
      <w:pPr>
        <w:pStyle w:val="ListParagraph"/>
        <w:numPr>
          <w:ilvl w:val="0"/>
          <w:numId w:val="1"/>
        </w:numPr>
        <w:spacing w:lineRule="exact" w:line="260" w:before="0" w:after="70"/>
        <w:rPr/>
      </w:pPr>
      <w:r>
        <w:rPr>
          <w:rFonts w:eastAsia="Calibri" w:cs="Calibri"/>
          <w:b/>
          <w:bCs/>
          <w:color w:val="1A1A2E"/>
          <w:sz w:val="20"/>
          <w:szCs w:val="20"/>
        </w:rPr>
        <w:t xml:space="preserve">Formspree — </w:t>
      </w:r>
      <w:r>
        <w:rPr>
          <w:rFonts w:eastAsia="Calibri" w:cs="Calibri"/>
          <w:color w:val="1A1A2E"/>
          <w:sz w:val="20"/>
          <w:szCs w:val="20"/>
        </w:rPr>
        <w:t>processes contact-form submissions so they reach my inbox.</w:t>
      </w:r>
    </w:p>
    <w:p>
      <w:pPr>
        <w:pStyle w:val="ListParagraph"/>
        <w:numPr>
          <w:ilvl w:val="0"/>
          <w:numId w:val="1"/>
        </w:numPr>
        <w:spacing w:lineRule="exact" w:line="260" w:before="0" w:after="70"/>
        <w:rPr/>
      </w:pPr>
      <w:r>
        <w:rPr>
          <w:rFonts w:eastAsia="Calibri" w:cs="Calibri"/>
          <w:b/>
          <w:bCs/>
          <w:color w:val="1A1A2E"/>
          <w:sz w:val="20"/>
          <w:szCs w:val="20"/>
        </w:rPr>
        <w:t>Gmail</w:t>
      </w:r>
      <w:r>
        <w:rPr>
          <w:rFonts w:eastAsia="Calibri" w:cs="Calibri"/>
          <w:color w:val="1A1A2E"/>
          <w:sz w:val="20"/>
          <w:szCs w:val="20"/>
        </w:rPr>
        <w:t xml:space="preserve"> — hosts my email correspondence.</w:t>
      </w:r>
    </w:p>
    <w:p>
      <w:pPr>
        <w:pStyle w:val="Normal"/>
        <w:spacing w:before="200" w:after="70"/>
        <w:rPr/>
      </w:pPr>
      <w:r>
        <w:rPr>
          <w:rFonts w:eastAsia="Calibri" w:cs="Calibri"/>
          <w:b/>
          <w:bCs/>
          <w:color w:val="E07B00"/>
          <w:sz w:val="21"/>
          <w:szCs w:val="21"/>
        </w:rPr>
        <w:t>6 · International transfers</w:t>
      </w:r>
    </w:p>
    <w:p>
      <w:pPr>
        <w:pStyle w:val="Normal"/>
        <w:spacing w:lineRule="exact" w:line="264" w:before="0" w:after="120"/>
        <w:rPr/>
      </w:pPr>
      <w:r>
        <w:rPr>
          <w:rFonts w:eastAsia="Calibri" w:cs="Calibri"/>
          <w:color w:val="1A1A2E"/>
          <w:sz w:val="20"/>
          <w:szCs w:val="20"/>
        </w:rPr>
        <w:t>Some providers may process data outside the UK. Where that happens, I rely on an appropriate safeguard — such as a UK adequacy decision or the UK International Data Transfer Agreement / Addendum — so your data keeps an equivalent level of protection.</w:t>
      </w:r>
    </w:p>
    <w:p>
      <w:pPr>
        <w:pStyle w:val="Normal"/>
        <w:spacing w:before="200" w:after="70"/>
        <w:rPr/>
      </w:pPr>
      <w:r>
        <w:rPr>
          <w:rFonts w:eastAsia="Calibri" w:cs="Calibri"/>
          <w:b/>
          <w:bCs/>
          <w:color w:val="E07B00"/>
          <w:sz w:val="21"/>
          <w:szCs w:val="21"/>
        </w:rPr>
        <w:t>7 · How long I keep it</w:t>
      </w:r>
    </w:p>
    <w:p>
      <w:pPr>
        <w:pStyle w:val="ListParagraph"/>
        <w:numPr>
          <w:ilvl w:val="0"/>
          <w:numId w:val="1"/>
        </w:numPr>
        <w:spacing w:lineRule="exact" w:line="260" w:before="0" w:after="70"/>
        <w:rPr/>
      </w:pPr>
      <w:r>
        <w:rPr>
          <w:rFonts w:eastAsia="Calibri" w:cs="Calibri"/>
          <w:b/>
          <w:bCs/>
          <w:color w:val="1A1A2E"/>
          <w:sz w:val="20"/>
          <w:szCs w:val="20"/>
        </w:rPr>
        <w:t xml:space="preserve">Enquiries that don’t lead to work — </w:t>
      </w:r>
      <w:r>
        <w:rPr>
          <w:rFonts w:eastAsia="Calibri" w:cs="Calibri"/>
          <w:color w:val="1A1A2E"/>
          <w:sz w:val="20"/>
          <w:szCs w:val="20"/>
        </w:rPr>
        <w:t>deleted within 12 months.</w:t>
      </w:r>
    </w:p>
    <w:p>
      <w:pPr>
        <w:pStyle w:val="ListParagraph"/>
        <w:numPr>
          <w:ilvl w:val="0"/>
          <w:numId w:val="1"/>
        </w:numPr>
        <w:spacing w:lineRule="exact" w:line="260" w:before="0" w:after="70"/>
        <w:rPr/>
      </w:pPr>
      <w:r>
        <w:rPr>
          <w:rFonts w:eastAsia="Calibri" w:cs="Calibri"/>
          <w:b/>
          <w:bCs/>
          <w:color w:val="1A1A2E"/>
          <w:sz w:val="20"/>
          <w:szCs w:val="20"/>
        </w:rPr>
        <w:t xml:space="preserve">Signed agreements and invoices — </w:t>
      </w:r>
      <w:r>
        <w:rPr>
          <w:rFonts w:eastAsia="Calibri" w:cs="Calibri"/>
          <w:color w:val="1A1A2E"/>
          <w:sz w:val="20"/>
          <w:szCs w:val="20"/>
        </w:rPr>
        <w:t>kept for six years, to meet legal and tax record-keeping requirements.</w:t>
      </w:r>
    </w:p>
    <w:p>
      <w:pPr>
        <w:pStyle w:val="ListParagraph"/>
        <w:numPr>
          <w:ilvl w:val="0"/>
          <w:numId w:val="1"/>
        </w:numPr>
        <w:spacing w:lineRule="exact" w:line="260" w:before="0" w:after="70"/>
        <w:rPr/>
      </w:pPr>
      <w:r>
        <w:rPr>
          <w:rFonts w:eastAsia="Calibri" w:cs="Calibri"/>
          <w:b/>
          <w:bCs/>
          <w:color w:val="1A1A2E"/>
          <w:sz w:val="20"/>
          <w:szCs w:val="20"/>
        </w:rPr>
        <w:t xml:space="preserve">All other engagement data — </w:t>
      </w:r>
      <w:r>
        <w:rPr>
          <w:rFonts w:eastAsia="Calibri" w:cs="Calibri"/>
          <w:color w:val="1A1A2E"/>
          <w:sz w:val="20"/>
          <w:szCs w:val="20"/>
        </w:rPr>
        <w:t>code, credentials, logs and working files are deleted once the engagement is handed over.</w:t>
      </w:r>
    </w:p>
    <w:p>
      <w:pPr>
        <w:pStyle w:val="Normal"/>
        <w:spacing w:before="200" w:after="70"/>
        <w:rPr/>
      </w:pPr>
      <w:r>
        <w:rPr>
          <w:rFonts w:eastAsia="Calibri" w:cs="Calibri"/>
          <w:b/>
          <w:bCs/>
          <w:color w:val="E07B00"/>
          <w:sz w:val="21"/>
          <w:szCs w:val="21"/>
        </w:rPr>
        <w:t>8 · How I protect it</w:t>
      </w:r>
    </w:p>
    <w:p>
      <w:pPr>
        <w:pStyle w:val="ListParagraph"/>
        <w:numPr>
          <w:ilvl w:val="0"/>
          <w:numId w:val="1"/>
        </w:numPr>
        <w:spacing w:lineRule="exact" w:line="260" w:before="0" w:after="70"/>
        <w:rPr/>
      </w:pPr>
      <w:r>
        <w:rPr>
          <w:rFonts w:eastAsia="Calibri" w:cs="Calibri"/>
          <w:b/>
          <w:bCs/>
          <w:color w:val="1A1A2E"/>
          <w:sz w:val="20"/>
          <w:szCs w:val="20"/>
        </w:rPr>
        <w:t xml:space="preserve">Remote and contained. </w:t>
      </w:r>
      <w:r>
        <w:rPr>
          <w:rFonts w:eastAsia="Calibri" w:cs="Calibri"/>
          <w:color w:val="1A1A2E"/>
          <w:sz w:val="20"/>
          <w:szCs w:val="20"/>
        </w:rPr>
        <w:t>Engagements run fully remotely. Credentials are stored locally and never in third-party clouds; where standing online access is required, I provision a dedicated, access-controlled platform for it.</w:t>
      </w:r>
    </w:p>
    <w:p>
      <w:pPr>
        <w:pStyle w:val="ListParagraph"/>
        <w:numPr>
          <w:ilvl w:val="0"/>
          <w:numId w:val="1"/>
        </w:numPr>
        <w:spacing w:lineRule="exact" w:line="260" w:before="0" w:after="70"/>
        <w:rPr/>
      </w:pPr>
      <w:r>
        <w:rPr>
          <w:rFonts w:eastAsia="Calibri" w:cs="Calibri"/>
          <w:b/>
          <w:bCs/>
          <w:color w:val="1A1A2E"/>
          <w:sz w:val="20"/>
          <w:szCs w:val="20"/>
        </w:rPr>
        <w:t xml:space="preserve">No telemetry from my side. </w:t>
      </w:r>
      <w:r>
        <w:rPr>
          <w:rFonts w:eastAsia="Calibri" w:cs="Calibri"/>
          <w:color w:val="1A1A2E"/>
          <w:sz w:val="20"/>
          <w:szCs w:val="20"/>
        </w:rPr>
        <w:t>My tooling runs with telemetry switched off, and the AI tools I develop with are configured so client code and data are never used to train third-party models.</w:t>
      </w:r>
    </w:p>
    <w:p>
      <w:pPr>
        <w:pStyle w:val="ListParagraph"/>
        <w:numPr>
          <w:ilvl w:val="0"/>
          <w:numId w:val="1"/>
        </w:numPr>
        <w:spacing w:lineRule="exact" w:line="260" w:before="0" w:after="70"/>
        <w:rPr/>
      </w:pPr>
      <w:r>
        <w:rPr>
          <w:rFonts w:eastAsia="Calibri" w:cs="Calibri"/>
          <w:b/>
          <w:bCs/>
          <w:color w:val="1A1A2E"/>
          <w:sz w:val="20"/>
          <w:szCs w:val="20"/>
        </w:rPr>
        <w:t xml:space="preserve">Minimal by design. </w:t>
      </w:r>
      <w:r>
        <w:rPr>
          <w:rFonts w:eastAsia="Calibri" w:cs="Calibri"/>
          <w:color w:val="1A1A2E"/>
          <w:sz w:val="20"/>
          <w:szCs w:val="20"/>
        </w:rPr>
        <w:t>Access is limited to me alone, and I only ever hold the data an engagement genuinely requires.</w:t>
      </w:r>
    </w:p>
    <w:p>
      <w:pPr>
        <w:pStyle w:val="Normal"/>
        <w:spacing w:before="200" w:after="70"/>
        <w:rPr/>
      </w:pPr>
      <w:r>
        <w:rPr>
          <w:rFonts w:eastAsia="Calibri" w:cs="Calibri"/>
          <w:b/>
          <w:bCs/>
          <w:color w:val="E07B00"/>
          <w:sz w:val="21"/>
          <w:szCs w:val="21"/>
        </w:rPr>
        <w:t>9 · Your rights</w:t>
      </w:r>
    </w:p>
    <w:p>
      <w:pPr>
        <w:pStyle w:val="Normal"/>
        <w:spacing w:lineRule="exact" w:line="264" w:before="0" w:after="120"/>
        <w:rPr/>
      </w:pPr>
      <w:r>
        <w:rPr>
          <w:rFonts w:eastAsia="Calibri" w:cs="Calibri"/>
          <w:color w:val="1A1A2E"/>
          <w:sz w:val="20"/>
          <w:szCs w:val="20"/>
        </w:rPr>
        <w:t xml:space="preserve">Under the UK GDPR you have the right to access your data; to have it corrected or erased; to restrict or object to its processing; to data portability; and, where processing relies on consent, to withdraw that consent. To exercise any of these, contact me at </w:t>
      </w:r>
      <w:r>
        <w:rPr>
          <w:rFonts w:eastAsia="Calibri" w:cs="Calibri"/>
          <w:i/>
          <w:iCs/>
          <w:color w:val="1A1A2E"/>
          <w:sz w:val="20"/>
          <w:szCs w:val="20"/>
        </w:rPr>
        <w:t>baxterdoby@gmail.com</w:t>
      </w:r>
    </w:p>
    <w:p>
      <w:pPr>
        <w:pStyle w:val="Normal"/>
        <w:spacing w:lineRule="exact" w:line="264" w:before="0" w:after="120"/>
        <w:rPr/>
      </w:pPr>
      <w:r>
        <w:rPr>
          <w:rFonts w:eastAsia="Calibri" w:cs="Calibri"/>
          <w:b w:val="false"/>
          <w:bCs w:val="false"/>
          <w:color w:val="1A1A2E"/>
          <w:sz w:val="20"/>
          <w:szCs w:val="20"/>
        </w:rPr>
        <w:t>If you have a complaint about how I handle your data, please contact me using the details above; I will acknowledge it within 30 days and work to resolve it. You also have the right to complain to the Information Commissioner’s Office (</w:t>
      </w:r>
      <w:r>
        <w:rPr>
          <w:rFonts w:eastAsia="Calibri" w:cs="Calibri"/>
          <w:b w:val="false"/>
          <w:bCs w:val="false"/>
          <w:color w:val="E07B00"/>
          <w:sz w:val="20"/>
          <w:szCs w:val="20"/>
        </w:rPr>
        <w:t>ico.org.uk</w:t>
      </w:r>
      <w:r>
        <w:rPr>
          <w:rFonts w:eastAsia="Calibri" w:cs="Calibri"/>
          <w:b w:val="false"/>
          <w:bCs w:val="false"/>
          <w:color w:val="1A1A2E"/>
          <w:sz w:val="20"/>
          <w:szCs w:val="20"/>
        </w:rPr>
        <w:t>) if you believe your data has been handled improperly.</w:t>
      </w:r>
    </w:p>
    <w:p>
      <w:pPr>
        <w:pStyle w:val="Normal"/>
        <w:spacing w:before="200" w:after="70"/>
        <w:rPr/>
      </w:pPr>
      <w:r>
        <w:rPr>
          <w:rFonts w:eastAsia="Calibri" w:cs="Calibri"/>
          <w:b/>
          <w:bCs/>
          <w:color w:val="E07B00"/>
          <w:sz w:val="21"/>
          <w:szCs w:val="21"/>
        </w:rPr>
        <w:t>10 · Changes to this notice</w:t>
      </w:r>
    </w:p>
    <w:p>
      <w:pPr>
        <w:pStyle w:val="Normal"/>
        <w:spacing w:lineRule="exact" w:line="264" w:before="0" w:after="120"/>
        <w:rPr/>
      </w:pPr>
      <w:r>
        <w:rPr>
          <w:rFonts w:eastAsia="Calibri" w:cs="Calibri"/>
          <w:color w:val="1A1A2E"/>
          <w:sz w:val="20"/>
          <w:szCs w:val="20"/>
        </w:rPr>
        <w:t>I may update this notice from time to time. The effective date and version above show when it was last revised.</w:t>
      </w:r>
    </w:p>
    <w:p>
      <w:pPr>
        <w:pStyle w:val="Normal"/>
        <w:pBdr>
          <w:left w:val="single" w:sz="24" w:space="6" w:color="E07B00"/>
        </w:pBdr>
        <w:shd w:val="clear" w:color="auto" w:fill="F3F0EA"/>
        <w:spacing w:before="260" w:after="160"/>
        <w:rPr/>
      </w:pPr>
      <w:r>
        <w:rPr>
          <w:rFonts w:eastAsia="Calibri" w:cs="Calibri"/>
          <w:b/>
          <w:bCs/>
          <w:color w:val="1A1A2E"/>
          <w:sz w:val="24"/>
          <w:szCs w:val="24"/>
        </w:rPr>
        <w:t xml:space="preserve">  Part B — Data Processing Agreement (DPA)</w:t>
      </w:r>
    </w:p>
    <w:p>
      <w:pPr>
        <w:pStyle w:val="Normal"/>
        <w:spacing w:lineRule="exact" w:line="268" w:before="0" w:after="140"/>
        <w:rPr/>
      </w:pPr>
      <w:r>
        <w:rPr>
          <w:rFonts w:eastAsia="Calibri" w:cs="Calibri"/>
          <w:i/>
          <w:iCs/>
          <w:color w:val="1A1A2E"/>
          <w:sz w:val="20"/>
          <w:szCs w:val="20"/>
        </w:rPr>
        <w:t>This DPA applies whenever, in delivering an engagement, I process personal data on your behalf. For that processing you are the controller and Doby Baxter Computing is the processor. This DPA forms part of, and is subject to, our engagement agreement.</w:t>
      </w:r>
    </w:p>
    <w:p>
      <w:pPr>
        <w:pStyle w:val="Normal"/>
        <w:spacing w:before="200" w:after="70"/>
        <w:rPr/>
      </w:pPr>
      <w:r>
        <w:rPr>
          <w:rFonts w:eastAsia="Calibri" w:cs="Calibri"/>
          <w:b/>
          <w:bCs/>
          <w:color w:val="E07B00"/>
          <w:sz w:val="21"/>
          <w:szCs w:val="21"/>
        </w:rPr>
        <w:t>1 · Definitions</w:t>
      </w:r>
    </w:p>
    <w:p>
      <w:pPr>
        <w:pStyle w:val="Normal"/>
        <w:spacing w:lineRule="exact" w:line="264" w:before="0" w:after="120"/>
        <w:rPr/>
      </w:pPr>
      <w:r>
        <w:rPr>
          <w:rFonts w:eastAsia="Calibri" w:cs="Calibri"/>
          <w:color w:val="1A1A2E"/>
          <w:sz w:val="20"/>
          <w:szCs w:val="20"/>
        </w:rPr>
        <w:t>“UK GDPR”, “controller”, “processor”, “personal data”, “processing”, “data subject”, “personal data breach” and “sub-processor” have the meanings given to them in the UK GDPR and the Data Protection Act 2018.</w:t>
      </w:r>
    </w:p>
    <w:p>
      <w:pPr>
        <w:pStyle w:val="Normal"/>
        <w:spacing w:before="200" w:after="70"/>
        <w:rPr/>
      </w:pPr>
      <w:r>
        <w:rPr>
          <w:rFonts w:eastAsia="Calibri" w:cs="Calibri"/>
          <w:b/>
          <w:bCs/>
          <w:color w:val="E07B00"/>
          <w:sz w:val="21"/>
          <w:szCs w:val="21"/>
        </w:rPr>
        <w:t>2 · Roles and scope of processing</w:t>
      </w:r>
    </w:p>
    <w:p>
      <w:pPr>
        <w:pStyle w:val="Normal"/>
        <w:spacing w:lineRule="exact" w:line="264" w:before="0" w:after="120"/>
        <w:rPr/>
      </w:pPr>
      <w:r>
        <w:rPr>
          <w:rFonts w:eastAsia="Calibri" w:cs="Calibri"/>
          <w:color w:val="1A1A2E"/>
          <w:sz w:val="20"/>
          <w:szCs w:val="20"/>
        </w:rPr>
        <w:t>You act as controller and I act as processor. The subject matter, duration, nature and purpose of the processing, the types of personal data and the categories of data subjects are set out in Annex 1.</w:t>
      </w:r>
    </w:p>
    <w:p>
      <w:pPr>
        <w:pStyle w:val="Normal"/>
        <w:spacing w:before="200" w:after="70"/>
        <w:rPr/>
      </w:pPr>
      <w:r>
        <w:rPr>
          <w:rFonts w:eastAsia="Calibri" w:cs="Calibri"/>
          <w:b/>
          <w:bCs/>
          <w:color w:val="E07B00"/>
          <w:sz w:val="21"/>
          <w:szCs w:val="21"/>
        </w:rPr>
        <w:t>3 · My obligations as processor</w:t>
      </w:r>
    </w:p>
    <w:p>
      <w:pPr>
        <w:pStyle w:val="ListParagraph"/>
        <w:numPr>
          <w:ilvl w:val="0"/>
          <w:numId w:val="1"/>
        </w:numPr>
        <w:spacing w:lineRule="exact" w:line="260" w:before="0" w:after="70"/>
        <w:rPr/>
      </w:pPr>
      <w:r>
        <w:rPr>
          <w:rFonts w:eastAsia="Calibri" w:cs="Calibri"/>
          <w:b/>
          <w:bCs/>
          <w:color w:val="1A1A2E"/>
          <w:sz w:val="20"/>
          <w:szCs w:val="20"/>
        </w:rPr>
        <w:t xml:space="preserve">Instructions. </w:t>
      </w:r>
      <w:r>
        <w:rPr>
          <w:rFonts w:eastAsia="Calibri" w:cs="Calibri"/>
          <w:color w:val="1A1A2E"/>
          <w:sz w:val="20"/>
          <w:szCs w:val="20"/>
        </w:rPr>
        <w:t>I process personal data only on your documented instructions — including this DPA and the agreed scope — unless required to do otherwise by law, in which case I will inform you first unless the law prohibits it.</w:t>
      </w:r>
    </w:p>
    <w:p>
      <w:pPr>
        <w:pStyle w:val="ListParagraph"/>
        <w:numPr>
          <w:ilvl w:val="0"/>
          <w:numId w:val="1"/>
        </w:numPr>
        <w:spacing w:lineRule="exact" w:line="260" w:before="0" w:after="70"/>
        <w:rPr/>
      </w:pPr>
      <w:r>
        <w:rPr>
          <w:rFonts w:eastAsia="Calibri" w:cs="Calibri"/>
          <w:b/>
          <w:bCs/>
          <w:color w:val="1A1A2E"/>
          <w:sz w:val="20"/>
          <w:szCs w:val="20"/>
        </w:rPr>
        <w:t xml:space="preserve">Confidentiality. </w:t>
      </w:r>
      <w:r>
        <w:rPr>
          <w:rFonts w:eastAsia="Calibri" w:cs="Calibri"/>
          <w:color w:val="1A1A2E"/>
          <w:sz w:val="20"/>
          <w:szCs w:val="20"/>
        </w:rPr>
        <w:t>Any person I authorize to process the data is bound by an appropriate duty of confidentiality.</w:t>
      </w:r>
    </w:p>
    <w:p>
      <w:pPr>
        <w:pStyle w:val="ListParagraph"/>
        <w:numPr>
          <w:ilvl w:val="0"/>
          <w:numId w:val="1"/>
        </w:numPr>
        <w:spacing w:lineRule="exact" w:line="260" w:before="0" w:after="70"/>
        <w:rPr/>
      </w:pPr>
      <w:r>
        <w:rPr>
          <w:rFonts w:eastAsia="Calibri" w:cs="Calibri"/>
          <w:b/>
          <w:bCs/>
          <w:color w:val="1A1A2E"/>
          <w:sz w:val="20"/>
          <w:szCs w:val="20"/>
        </w:rPr>
        <w:t xml:space="preserve">Security. </w:t>
      </w:r>
      <w:r>
        <w:rPr>
          <w:rFonts w:eastAsia="Calibri" w:cs="Calibri"/>
          <w:color w:val="1A1A2E"/>
          <w:sz w:val="20"/>
          <w:szCs w:val="20"/>
        </w:rPr>
        <w:t>I implement the technical and organizational measures set out in Annex 2, appropriate to the risk (Article 32).</w:t>
      </w:r>
    </w:p>
    <w:p>
      <w:pPr>
        <w:pStyle w:val="ListParagraph"/>
        <w:numPr>
          <w:ilvl w:val="0"/>
          <w:numId w:val="1"/>
        </w:numPr>
        <w:spacing w:lineRule="exact" w:line="260" w:before="0" w:after="70"/>
        <w:rPr/>
      </w:pPr>
      <w:r>
        <w:rPr>
          <w:rFonts w:eastAsia="Calibri" w:cs="Calibri"/>
          <w:b/>
          <w:bCs/>
          <w:color w:val="1A1A2E"/>
          <w:sz w:val="20"/>
          <w:szCs w:val="20"/>
        </w:rPr>
        <w:t xml:space="preserve">Sub-processors. </w:t>
      </w:r>
      <w:r>
        <w:rPr>
          <w:rFonts w:eastAsia="Calibri" w:cs="Calibri"/>
          <w:color w:val="1A1A2E"/>
          <w:sz w:val="20"/>
          <w:szCs w:val="20"/>
        </w:rPr>
        <w:t>I will not engage a sub-processor without your general written authorization; current sub-processors are listed in Annex 3. I will inform you of any intended change and give you the chance to object, and I impose equivalent data-protection obligations on any sub-processor I use.</w:t>
      </w:r>
    </w:p>
    <w:p>
      <w:pPr>
        <w:pStyle w:val="ListParagraph"/>
        <w:numPr>
          <w:ilvl w:val="0"/>
          <w:numId w:val="1"/>
        </w:numPr>
        <w:spacing w:lineRule="exact" w:line="260" w:before="0" w:after="70"/>
        <w:rPr/>
      </w:pPr>
      <w:r>
        <w:rPr>
          <w:rFonts w:eastAsia="Calibri" w:cs="Calibri"/>
          <w:b/>
          <w:bCs/>
          <w:color w:val="1A1A2E"/>
          <w:sz w:val="20"/>
          <w:szCs w:val="20"/>
        </w:rPr>
        <w:t xml:space="preserve">Assistance with rights. </w:t>
      </w:r>
      <w:r>
        <w:rPr>
          <w:rFonts w:eastAsia="Calibri" w:cs="Calibri"/>
          <w:color w:val="1A1A2E"/>
          <w:sz w:val="20"/>
          <w:szCs w:val="20"/>
        </w:rPr>
        <w:t>Taking into account the nature of the processing, I assist you by appropriate measures in meeting requests from data subjects exercising their rights.</w:t>
      </w:r>
    </w:p>
    <w:p>
      <w:pPr>
        <w:pStyle w:val="ListParagraph"/>
        <w:numPr>
          <w:ilvl w:val="0"/>
          <w:numId w:val="1"/>
        </w:numPr>
        <w:spacing w:lineRule="exact" w:line="260" w:before="0" w:after="70"/>
        <w:rPr/>
      </w:pPr>
      <w:r>
        <w:rPr>
          <w:rFonts w:eastAsia="Calibri" w:cs="Calibri"/>
          <w:b/>
          <w:bCs/>
          <w:color w:val="1A1A2E"/>
          <w:sz w:val="20"/>
          <w:szCs w:val="20"/>
        </w:rPr>
        <w:t xml:space="preserve">Assistance with compliance. </w:t>
      </w:r>
      <w:r>
        <w:rPr>
          <w:rFonts w:eastAsia="Calibri" w:cs="Calibri"/>
          <w:color w:val="1A1A2E"/>
          <w:sz w:val="20"/>
          <w:szCs w:val="20"/>
        </w:rPr>
        <w:t>I assist you in meeting your obligations on security, breach notification, data protection impact assessments and prior consultation (Articles 32–36), taking into account the information available to me.</w:t>
      </w:r>
    </w:p>
    <w:p>
      <w:pPr>
        <w:pStyle w:val="ListParagraph"/>
        <w:numPr>
          <w:ilvl w:val="0"/>
          <w:numId w:val="1"/>
        </w:numPr>
        <w:spacing w:lineRule="exact" w:line="260" w:before="0" w:after="70"/>
        <w:rPr/>
      </w:pPr>
      <w:r>
        <w:rPr>
          <w:rFonts w:eastAsia="Calibri" w:cs="Calibri"/>
          <w:b/>
          <w:bCs/>
          <w:color w:val="1A1A2E"/>
          <w:sz w:val="20"/>
          <w:szCs w:val="20"/>
        </w:rPr>
        <w:t xml:space="preserve">Breach notification. </w:t>
      </w:r>
      <w:r>
        <w:rPr>
          <w:rFonts w:eastAsia="Calibri" w:cs="Calibri"/>
          <w:color w:val="1A1A2E"/>
          <w:sz w:val="20"/>
          <w:szCs w:val="20"/>
        </w:rPr>
        <w:t>I notify you without undue delay, and in any event within 72 hours, after becoming aware of a personal data breach, with the information you need to meet your own obligations.</w:t>
      </w:r>
    </w:p>
    <w:p>
      <w:pPr>
        <w:pStyle w:val="ListParagraph"/>
        <w:numPr>
          <w:ilvl w:val="0"/>
          <w:numId w:val="1"/>
        </w:numPr>
        <w:spacing w:lineRule="exact" w:line="260" w:before="0" w:after="70"/>
        <w:rPr/>
      </w:pPr>
      <w:r>
        <w:rPr>
          <w:rFonts w:eastAsia="Calibri" w:cs="Calibri"/>
          <w:b/>
          <w:bCs/>
          <w:color w:val="1A1A2E"/>
          <w:sz w:val="20"/>
          <w:szCs w:val="20"/>
        </w:rPr>
        <w:t xml:space="preserve">Return or deletion. </w:t>
      </w:r>
      <w:r>
        <w:rPr>
          <w:rFonts w:eastAsia="Calibri" w:cs="Calibri"/>
          <w:color w:val="1A1A2E"/>
          <w:sz w:val="20"/>
          <w:szCs w:val="20"/>
        </w:rPr>
        <w:t>At the end of the engagement I delete or return all personal data at your choice, and delete existing copies — except records I am legally required to retain, which are limited to the signed agreements and invoices described in Part A.</w:t>
      </w:r>
    </w:p>
    <w:p>
      <w:pPr>
        <w:pStyle w:val="ListParagraph"/>
        <w:numPr>
          <w:ilvl w:val="0"/>
          <w:numId w:val="1"/>
        </w:numPr>
        <w:spacing w:lineRule="exact" w:line="260" w:before="0" w:after="70"/>
        <w:rPr/>
      </w:pPr>
      <w:r>
        <w:rPr>
          <w:rFonts w:eastAsia="Calibri" w:cs="Calibri"/>
          <w:b/>
          <w:bCs/>
          <w:color w:val="1A1A2E"/>
          <w:sz w:val="20"/>
          <w:szCs w:val="20"/>
        </w:rPr>
        <w:t xml:space="preserve">Audit. </w:t>
      </w:r>
      <w:r>
        <w:rPr>
          <w:rFonts w:eastAsia="Calibri" w:cs="Calibri"/>
          <w:color w:val="1A1A2E"/>
          <w:sz w:val="20"/>
          <w:szCs w:val="20"/>
        </w:rPr>
        <w:t>I make available the information necessary to demonstrate compliance with this DPA, and allow for and contribute to audits, including inspections, conducted by you or an auditor you mandate, on reasonable notice, at your cost and no more than once a year unless a personal data breach has occurred.</w:t>
      </w:r>
    </w:p>
    <w:p>
      <w:pPr>
        <w:pStyle w:val="Normal"/>
        <w:spacing w:before="200" w:after="70"/>
        <w:rPr/>
      </w:pPr>
      <w:r>
        <w:rPr>
          <w:rFonts w:eastAsia="Calibri" w:cs="Calibri"/>
          <w:b/>
          <w:bCs/>
          <w:color w:val="E07B00"/>
          <w:sz w:val="21"/>
          <w:szCs w:val="21"/>
        </w:rPr>
        <w:t>4 · International transfers</w:t>
      </w:r>
    </w:p>
    <w:p>
      <w:pPr>
        <w:pStyle w:val="Normal"/>
        <w:spacing w:lineRule="exact" w:line="264" w:before="0" w:after="120"/>
        <w:rPr/>
      </w:pPr>
      <w:r>
        <w:rPr>
          <w:rFonts w:eastAsia="Calibri" w:cs="Calibri"/>
          <w:color w:val="1A1A2E"/>
          <w:sz w:val="20"/>
          <w:szCs w:val="20"/>
        </w:rPr>
        <w:t>I will not transfer personal data outside the UK without ensuring an appropriate transfer mechanism is in place, and I will inform you where a listed sub-processor does so.</w:t>
      </w:r>
    </w:p>
    <w:p>
      <w:pPr>
        <w:pStyle w:val="Normal"/>
        <w:spacing w:before="200" w:after="70"/>
        <w:rPr/>
      </w:pPr>
      <w:r>
        <w:rPr>
          <w:rFonts w:eastAsia="Calibri" w:cs="Calibri"/>
          <w:b/>
          <w:bCs/>
          <w:color w:val="E07B00"/>
          <w:sz w:val="21"/>
          <w:szCs w:val="21"/>
        </w:rPr>
        <w:t>5 · Duration</w:t>
      </w:r>
    </w:p>
    <w:p>
      <w:pPr>
        <w:pStyle w:val="Normal"/>
        <w:spacing w:lineRule="exact" w:line="264" w:before="0" w:after="120"/>
        <w:rPr/>
      </w:pPr>
      <w:r>
        <w:rPr>
          <w:rFonts w:eastAsia="Calibri" w:cs="Calibri"/>
          <w:color w:val="1A1A2E"/>
          <w:sz w:val="20"/>
          <w:szCs w:val="20"/>
        </w:rPr>
        <w:t>This DPA applies for the duration of the engagement and continues to apply for as long as I retain any personal data processed on your behalf.</w:t>
      </w:r>
    </w:p>
    <w:p>
      <w:pPr>
        <w:pStyle w:val="Normal"/>
        <w:spacing w:before="200" w:after="70"/>
        <w:rPr/>
      </w:pPr>
      <w:r>
        <w:rPr>
          <w:rFonts w:eastAsia="Calibri" w:cs="Calibri"/>
          <w:b/>
          <w:bCs/>
          <w:color w:val="E07B00"/>
          <w:sz w:val="21"/>
          <w:szCs w:val="21"/>
        </w:rPr>
        <w:t>6 · General</w:t>
      </w:r>
    </w:p>
    <w:p>
      <w:pPr>
        <w:pStyle w:val="Normal"/>
        <w:spacing w:lineRule="exact" w:line="264" w:before="0" w:after="120"/>
        <w:rPr/>
      </w:pPr>
      <w:r>
        <w:rPr>
          <w:rFonts w:eastAsia="Calibri" w:cs="Calibri"/>
          <w:color w:val="1A1A2E"/>
          <w:sz w:val="20"/>
          <w:szCs w:val="20"/>
        </w:rPr>
        <w:t>If there is any conflict between this DPA and the rest of the engagement agreement on data-protection matters, this DPA prevails. It is governed by the laws of England and Wales.</w:t>
      </w:r>
    </w:p>
    <w:p>
      <w:pPr>
        <w:pStyle w:val="Normal"/>
        <w:spacing w:before="200" w:after="70"/>
        <w:rPr/>
      </w:pPr>
      <w:r>
        <w:rPr>
          <w:rFonts w:eastAsia="Calibri" w:cs="Calibri"/>
          <w:b/>
          <w:bCs/>
          <w:color w:val="E07B00"/>
          <w:sz w:val="21"/>
          <w:szCs w:val="21"/>
        </w:rPr>
        <w:t>7 · Signatures</w:t>
      </w:r>
    </w:p>
    <w:tbl>
      <w:tblPr>
        <w:tblW w:w="5000" w:type="pct"/>
        <w:jc w:val="left"/>
        <w:tblInd w:w="0" w:type="dxa"/>
        <w:tblLayout w:type="fixed"/>
        <w:tblCellMar>
          <w:top w:w="220" w:type="dxa"/>
          <w:left w:w="108" w:type="dxa"/>
          <w:bottom w:w="0" w:type="dxa"/>
          <w:right w:w="200" w:type="dxa"/>
        </w:tblCellMar>
      </w:tblPr>
      <w:tblGrid>
        <w:gridCol w:w="4952"/>
        <w:gridCol w:w="4953"/>
      </w:tblGrid>
      <w:tr>
        <w:trPr/>
        <w:tc>
          <w:tcPr>
            <w:tcW w:w="4952" w:type="dxa"/>
            <w:tcBorders/>
          </w:tcPr>
          <w:p>
            <w:pPr>
              <w:pStyle w:val="Normal"/>
              <w:pBdr>
                <w:bottom w:val="single" w:sz="4" w:space="6" w:color="1A1A2E"/>
              </w:pBdr>
              <w:spacing w:before="0" w:after="40"/>
              <w:rPr/>
            </w:pPr>
            <w:r>
              <w:rPr/>
            </w:r>
          </w:p>
          <w:p>
            <w:pPr>
              <w:pStyle w:val="Normal"/>
              <w:rPr/>
            </w:pPr>
            <w:r>
              <w:rPr>
                <w:rFonts w:eastAsia="Calibri" w:cs="Calibri"/>
                <w:color w:val="595959"/>
                <w:sz w:val="17"/>
                <w:szCs w:val="17"/>
              </w:rPr>
              <w:t>Controller (Client) — name, signature, date</w:t>
            </w:r>
          </w:p>
        </w:tc>
        <w:tc>
          <w:tcPr>
            <w:tcW w:w="4953" w:type="dxa"/>
            <w:tcBorders/>
            <w:tcMar>
              <w:right w:w="108" w:type="dxa"/>
            </w:tcMar>
          </w:tcPr>
          <w:p>
            <w:pPr>
              <w:pStyle w:val="Normal"/>
              <w:pBdr>
                <w:bottom w:val="single" w:sz="4" w:space="6" w:color="1A1A2E"/>
              </w:pBdr>
              <w:spacing w:before="0" w:after="40"/>
              <w:rPr/>
            </w:pPr>
            <w:r>
              <w:rPr/>
            </w:r>
          </w:p>
          <w:p>
            <w:pPr>
              <w:pStyle w:val="Normal"/>
              <w:rPr/>
            </w:pPr>
            <w:r>
              <w:rPr>
                <w:rFonts w:eastAsia="Calibri" w:cs="Calibri"/>
                <w:color w:val="595959"/>
                <w:sz w:val="17"/>
                <w:szCs w:val="17"/>
              </w:rPr>
              <w:t>Processor — Doby Baxter, signature, date</w:t>
            </w:r>
          </w:p>
        </w:tc>
      </w:tr>
    </w:tbl>
    <w:p>
      <w:pPr>
        <w:pStyle w:val="Normal"/>
        <w:pBdr>
          <w:left w:val="single" w:sz="24" w:space="6" w:color="E07B00"/>
        </w:pBdr>
        <w:shd w:val="clear" w:color="auto" w:fill="F3F0EA"/>
        <w:spacing w:before="260" w:after="160"/>
        <w:rPr/>
      </w:pPr>
      <w:r>
        <w:rPr>
          <w:rFonts w:eastAsia="Calibri" w:cs="Calibri"/>
          <w:b/>
          <w:bCs/>
          <w:color w:val="1A1A2E"/>
          <w:sz w:val="24"/>
          <w:szCs w:val="24"/>
        </w:rPr>
        <w:t xml:space="preserve">  Annexes</w:t>
      </w:r>
    </w:p>
    <w:p>
      <w:pPr>
        <w:pStyle w:val="Normal"/>
        <w:spacing w:before="200" w:after="70"/>
        <w:rPr/>
      </w:pPr>
      <w:r>
        <w:rPr>
          <w:rFonts w:eastAsia="Calibri" w:cs="Calibri"/>
          <w:b/>
          <w:bCs/>
          <w:color w:val="E07B00"/>
          <w:sz w:val="21"/>
          <w:szCs w:val="21"/>
        </w:rPr>
        <w:t>Annex 1 · Details of the processing</w:t>
      </w:r>
    </w:p>
    <w:p>
      <w:pPr>
        <w:pStyle w:val="ListParagraph"/>
        <w:numPr>
          <w:ilvl w:val="0"/>
          <w:numId w:val="1"/>
        </w:numPr>
        <w:spacing w:lineRule="exact" w:line="260" w:before="0" w:after="70"/>
        <w:rPr/>
      </w:pPr>
      <w:r>
        <w:rPr>
          <w:rFonts w:eastAsia="Calibri" w:cs="Calibri"/>
          <w:b/>
          <w:bCs/>
          <w:color w:val="1A1A2E"/>
          <w:sz w:val="20"/>
          <w:szCs w:val="20"/>
        </w:rPr>
        <w:t xml:space="preserve">Subject matter — </w:t>
      </w:r>
      <w:r>
        <w:rPr>
          <w:rFonts w:eastAsia="Calibri" w:cs="Calibri"/>
          <w:color w:val="1A1A2E"/>
          <w:sz w:val="20"/>
          <w:szCs w:val="20"/>
        </w:rPr>
        <w:t>[the engagement described in the signed scope agreement].</w:t>
      </w:r>
    </w:p>
    <w:p>
      <w:pPr>
        <w:pStyle w:val="ListParagraph"/>
        <w:numPr>
          <w:ilvl w:val="0"/>
          <w:numId w:val="1"/>
        </w:numPr>
        <w:spacing w:lineRule="exact" w:line="260" w:before="0" w:after="70"/>
        <w:rPr/>
      </w:pPr>
      <w:r>
        <w:rPr>
          <w:rFonts w:eastAsia="Calibri" w:cs="Calibri"/>
          <w:b/>
          <w:bCs/>
          <w:color w:val="1A1A2E"/>
          <w:sz w:val="20"/>
          <w:szCs w:val="20"/>
        </w:rPr>
        <w:t xml:space="preserve">Duration — </w:t>
      </w:r>
      <w:r>
        <w:rPr>
          <w:rFonts w:eastAsia="Calibri" w:cs="Calibri"/>
          <w:color w:val="1A1A2E"/>
          <w:sz w:val="20"/>
          <w:szCs w:val="20"/>
        </w:rPr>
        <w:t>the term of the engagement.</w:t>
      </w:r>
    </w:p>
    <w:p>
      <w:pPr>
        <w:pStyle w:val="ListParagraph"/>
        <w:numPr>
          <w:ilvl w:val="0"/>
          <w:numId w:val="1"/>
        </w:numPr>
        <w:spacing w:lineRule="exact" w:line="260" w:before="0" w:after="70"/>
        <w:rPr/>
      </w:pPr>
      <w:r>
        <w:rPr>
          <w:rFonts w:eastAsia="Calibri" w:cs="Calibri"/>
          <w:b/>
          <w:bCs/>
          <w:color w:val="1A1A2E"/>
          <w:sz w:val="20"/>
          <w:szCs w:val="20"/>
        </w:rPr>
        <w:t xml:space="preserve">Nature and purpose — </w:t>
      </w:r>
      <w:r>
        <w:rPr>
          <w:rFonts w:eastAsia="Calibri" w:cs="Calibri"/>
          <w:color w:val="1A1A2E"/>
          <w:sz w:val="20"/>
          <w:szCs w:val="20"/>
        </w:rPr>
        <w:t>auditing, validating and improving the reliability and security of your systems.</w:t>
      </w:r>
    </w:p>
    <w:p>
      <w:pPr>
        <w:pStyle w:val="ListParagraph"/>
        <w:numPr>
          <w:ilvl w:val="0"/>
          <w:numId w:val="1"/>
        </w:numPr>
        <w:spacing w:lineRule="exact" w:line="260" w:before="0" w:after="70"/>
        <w:rPr/>
      </w:pPr>
      <w:r>
        <w:rPr>
          <w:rFonts w:eastAsia="Calibri" w:cs="Calibri"/>
          <w:b/>
          <w:bCs/>
          <w:color w:val="1A1A2E"/>
          <w:sz w:val="20"/>
          <w:szCs w:val="20"/>
        </w:rPr>
        <w:t xml:space="preserve">Types of personal data — </w:t>
      </w:r>
      <w:r>
        <w:rPr>
          <w:rFonts w:eastAsia="Calibri" w:cs="Calibri"/>
          <w:color w:val="1A1A2E"/>
          <w:sz w:val="20"/>
          <w:szCs w:val="20"/>
        </w:rPr>
        <w:t>[to be specified per engagement — e.g. business contact details, user account identifiers, log data].</w:t>
      </w:r>
    </w:p>
    <w:p>
      <w:pPr>
        <w:pStyle w:val="ListParagraph"/>
        <w:numPr>
          <w:ilvl w:val="0"/>
          <w:numId w:val="1"/>
        </w:numPr>
        <w:spacing w:lineRule="exact" w:line="260" w:before="0" w:after="70"/>
        <w:rPr/>
      </w:pPr>
      <w:r>
        <w:rPr>
          <w:rFonts w:eastAsia="Calibri" w:cs="Calibri"/>
          <w:b/>
          <w:bCs/>
          <w:color w:val="1A1A2E"/>
          <w:sz w:val="20"/>
          <w:szCs w:val="20"/>
        </w:rPr>
        <w:t xml:space="preserve">Categories of data subjects — </w:t>
      </w:r>
      <w:r>
        <w:rPr>
          <w:rFonts w:eastAsia="Calibri" w:cs="Calibri"/>
          <w:color w:val="1A1A2E"/>
          <w:sz w:val="20"/>
          <w:szCs w:val="20"/>
        </w:rPr>
        <w:t>[to be specified per engagement — e.g. your staff, users, or customers].</w:t>
      </w:r>
    </w:p>
    <w:p>
      <w:pPr>
        <w:pStyle w:val="Normal"/>
        <w:spacing w:before="200" w:after="70"/>
        <w:rPr/>
      </w:pPr>
      <w:r>
        <w:rPr>
          <w:rFonts w:eastAsia="Calibri" w:cs="Calibri"/>
          <w:b/>
          <w:bCs/>
          <w:color w:val="E07B00"/>
          <w:sz w:val="21"/>
          <w:szCs w:val="21"/>
        </w:rPr>
        <w:t>Annex 2 · Technical and organizational measures</w:t>
      </w:r>
    </w:p>
    <w:p>
      <w:pPr>
        <w:pStyle w:val="ListParagraph"/>
        <w:numPr>
          <w:ilvl w:val="0"/>
          <w:numId w:val="1"/>
        </w:numPr>
        <w:spacing w:lineRule="exact" w:line="260" w:before="0" w:after="70"/>
        <w:rPr/>
      </w:pPr>
      <w:r>
        <w:rPr>
          <w:rFonts w:eastAsia="Calibri" w:cs="Calibri"/>
          <w:color w:val="1A1A2E"/>
          <w:sz w:val="20"/>
          <w:szCs w:val="20"/>
        </w:rPr>
        <w:t>Engagements run fully remotely; no shared offices or devices.</w:t>
      </w:r>
    </w:p>
    <w:p>
      <w:pPr>
        <w:pStyle w:val="ListParagraph"/>
        <w:numPr>
          <w:ilvl w:val="0"/>
          <w:numId w:val="1"/>
        </w:numPr>
        <w:spacing w:lineRule="exact" w:line="260" w:before="0" w:after="70"/>
        <w:rPr/>
      </w:pPr>
      <w:r>
        <w:rPr>
          <w:rFonts w:eastAsia="Calibri" w:cs="Calibri"/>
          <w:color w:val="1A1A2E"/>
          <w:sz w:val="20"/>
          <w:szCs w:val="20"/>
        </w:rPr>
        <w:t>Credentials stored locally with device encryption, never in third-party clouds; a dedicated, access-controlled platform is provisioned where standing access is required.</w:t>
      </w:r>
    </w:p>
    <w:p>
      <w:pPr>
        <w:pStyle w:val="ListParagraph"/>
        <w:numPr>
          <w:ilvl w:val="0"/>
          <w:numId w:val="1"/>
        </w:numPr>
        <w:spacing w:lineRule="exact" w:line="260" w:before="0" w:after="70"/>
        <w:rPr/>
      </w:pPr>
      <w:r>
        <w:rPr>
          <w:rFonts w:eastAsia="Calibri" w:cs="Calibri"/>
          <w:color w:val="1A1A2E"/>
          <w:sz w:val="20"/>
          <w:szCs w:val="20"/>
        </w:rPr>
        <w:t>Access restricted to Doby Baxter alone.</w:t>
      </w:r>
    </w:p>
    <w:p>
      <w:pPr>
        <w:pStyle w:val="ListParagraph"/>
        <w:numPr>
          <w:ilvl w:val="0"/>
          <w:numId w:val="1"/>
        </w:numPr>
        <w:spacing w:lineRule="exact" w:line="260" w:before="0" w:after="70"/>
        <w:rPr/>
      </w:pPr>
      <w:r>
        <w:rPr>
          <w:rFonts w:eastAsia="Calibri" w:cs="Calibri"/>
          <w:color w:val="1A1A2E"/>
          <w:sz w:val="20"/>
          <w:szCs w:val="20"/>
        </w:rPr>
        <w:t>Telemetry disabled across tooling; AI tools configured so client data is not used to train third-party models.</w:t>
      </w:r>
    </w:p>
    <w:p>
      <w:pPr>
        <w:pStyle w:val="ListParagraph"/>
        <w:numPr>
          <w:ilvl w:val="0"/>
          <w:numId w:val="1"/>
        </w:numPr>
        <w:spacing w:lineRule="exact" w:line="260" w:before="0" w:after="70"/>
        <w:rPr/>
      </w:pPr>
      <w:r>
        <w:rPr>
          <w:rFonts w:eastAsia="Calibri" w:cs="Calibri"/>
          <w:color w:val="1A1A2E"/>
          <w:sz w:val="20"/>
          <w:szCs w:val="20"/>
        </w:rPr>
        <w:t>Data minimization — only data necessary for the engagement is accessed.</w:t>
      </w:r>
    </w:p>
    <w:p>
      <w:pPr>
        <w:pStyle w:val="ListParagraph"/>
        <w:numPr>
          <w:ilvl w:val="0"/>
          <w:numId w:val="1"/>
        </w:numPr>
        <w:spacing w:lineRule="exact" w:line="260" w:before="0" w:after="70"/>
        <w:rPr/>
      </w:pPr>
      <w:r>
        <w:rPr>
          <w:rFonts w:eastAsia="Calibri" w:cs="Calibri"/>
          <w:color w:val="1A1A2E"/>
          <w:sz w:val="20"/>
          <w:szCs w:val="20"/>
        </w:rPr>
        <w:t>Encryption of data in transit; strong authentication on all accounts.</w:t>
      </w:r>
    </w:p>
    <w:p>
      <w:pPr>
        <w:pStyle w:val="ListParagraph"/>
        <w:numPr>
          <w:ilvl w:val="0"/>
          <w:numId w:val="1"/>
        </w:numPr>
        <w:spacing w:lineRule="exact" w:line="260" w:before="0" w:after="70"/>
        <w:rPr/>
      </w:pPr>
      <w:r>
        <w:rPr>
          <w:rFonts w:eastAsia="Calibri" w:cs="Calibri"/>
          <w:color w:val="1A1A2E"/>
          <w:sz w:val="20"/>
          <w:szCs w:val="20"/>
        </w:rPr>
        <w:t>All working data deleted on handover, retaining only legally-required records.</w:t>
      </w:r>
    </w:p>
    <w:p>
      <w:pPr>
        <w:pStyle w:val="Normal"/>
        <w:spacing w:before="200" w:after="70"/>
        <w:rPr/>
      </w:pPr>
      <w:r>
        <w:rPr>
          <w:rFonts w:eastAsia="Calibri" w:cs="Calibri"/>
          <w:b/>
          <w:bCs/>
          <w:color w:val="E07B00"/>
          <w:sz w:val="21"/>
          <w:szCs w:val="21"/>
        </w:rPr>
        <w:t>Annex 3 · Approved sub-processors</w:t>
      </w:r>
    </w:p>
    <w:p>
      <w:pPr>
        <w:pStyle w:val="ListParagraph"/>
        <w:numPr>
          <w:ilvl w:val="0"/>
          <w:numId w:val="1"/>
        </w:numPr>
        <w:spacing w:lineRule="exact" w:line="260" w:before="0" w:after="70"/>
        <w:rPr/>
      </w:pPr>
      <w:r>
        <w:rPr>
          <w:rFonts w:eastAsia="Calibri" w:cs="Calibri"/>
          <w:b/>
          <w:bCs/>
          <w:color w:val="1A1A2E"/>
          <w:sz w:val="20"/>
          <w:szCs w:val="20"/>
        </w:rPr>
        <w:t xml:space="preserve">Formspree — </w:t>
      </w:r>
      <w:r>
        <w:rPr>
          <w:rFonts w:eastAsia="Calibri" w:cs="Calibri"/>
          <w:color w:val="1A1A2E"/>
          <w:sz w:val="20"/>
          <w:szCs w:val="20"/>
        </w:rPr>
        <w:t>website contact-form submissions — [United States].</w:t>
      </w:r>
    </w:p>
    <w:p>
      <w:pPr>
        <w:pStyle w:val="ListParagraph"/>
        <w:numPr>
          <w:ilvl w:val="0"/>
          <w:numId w:val="1"/>
        </w:numPr>
        <w:spacing w:lineRule="exact" w:line="260" w:before="0" w:after="70"/>
        <w:rPr>
          <w:rFonts w:ascii="Calibri" w:hAnsi="Calibri" w:eastAsia="Calibri" w:cs="Calibri"/>
          <w:color w:val="1A1A2E"/>
          <w:sz w:val="20"/>
          <w:szCs w:val="20"/>
        </w:rPr>
      </w:pPr>
      <w:r>
        <w:rPr>
          <w:rFonts w:eastAsia="Calibri" w:cs="Calibri"/>
          <w:b/>
          <w:bCs/>
          <w:color w:val="1A1A2E"/>
          <w:sz w:val="20"/>
          <w:szCs w:val="20"/>
        </w:rPr>
        <w:t xml:space="preserve">Gmail </w:t>
      </w:r>
      <w:r>
        <w:rPr>
          <w:rFonts w:eastAsia="Calibri" w:cs="Calibri"/>
          <w:color w:val="1A1A2E"/>
          <w:sz w:val="20"/>
          <w:szCs w:val="20"/>
        </w:rPr>
        <w:t>— correspondence — [United States].</w:t>
      </w:r>
    </w:p>
    <w:sectPr>
      <w:type w:val="nextPage"/>
      <w:pgSz w:w="11906" w:h="16838"/>
      <w:pgMar w:left="1000" w:right="1000" w:gutter="0" w:header="0" w:top="900" w:footer="0" w:bottom="900"/>
      <w:pgNumType w:fmt="decimal"/>
      <w:formProt w:val="false"/>
      <w:textDirection w:val="lrTb"/>
      <w:docGrid w:type="default" w:linePitch="360" w:charSpace="8192"/>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Calibri">
    <w:charset w:val="cc"/>
    <w:family w:val="roman"/>
    <w:pitch w:val="variable"/>
  </w:font>
  <w:font w:name="Liberation Sans">
    <w:altName w:val="Arial"/>
    <w:charset w:val="cc"/>
    <w:family w:val="swiss"/>
    <w:pitch w:val="variable"/>
  </w:font>
  <w:font w:name="Wingdings">
    <w:charset w:val="02"/>
    <w:family w:val="auto"/>
    <w:pitch w:val="default"/>
  </w:font>
  <w:font w:name="Wingdings 2">
    <w:charset w:val="02"/>
    <w:family w:val="auto"/>
    <w:pitch w:val="default"/>
  </w:font>
  <w:font w:name="OpenSymbol">
    <w:altName w:val="Arial Unicode MS"/>
    <w:charset w:val="01"/>
    <w:family w:val="auto"/>
    <w:pitch w:val="default"/>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bullet"/>
      <w:lvlText w:val=""/>
      <w:lvlJc w:val="left"/>
      <w:pPr>
        <w:tabs>
          <w:tab w:val="num" w:pos="0"/>
        </w:tabs>
        <w:ind w:left="720" w:hanging="360"/>
      </w:pPr>
      <w:rPr>
        <w:rFonts w:ascii="Wingdings" w:hAnsi="Wingdings" w:cs="Wingdings" w:hint="default"/>
      </w:rPr>
    </w:lvl>
    <w:lvl w:ilvl="1">
      <w:start w:val="1"/>
      <w:numFmt w:val="bullet"/>
      <w:lvlText w:val=""/>
      <w:lvlJc w:val="left"/>
      <w:pPr>
        <w:tabs>
          <w:tab w:val="num" w:pos="0"/>
        </w:tabs>
        <w:ind w:left="1440" w:hanging="360"/>
      </w:pPr>
      <w:rPr>
        <w:rFonts w:ascii="Wingdings 2" w:hAnsi="Wingdings 2" w:cs="Wingdings 2" w:hint="default"/>
      </w:rPr>
    </w:lvl>
    <w:lvl w:ilvl="2">
      <w:start w:val="1"/>
      <w:numFmt w:val="bullet"/>
      <w:lvlText w:val="■"/>
      <w:lvlJc w:val="left"/>
      <w:pPr>
        <w:tabs>
          <w:tab w:val="num" w:pos="0"/>
        </w:tabs>
        <w:ind w:left="2160" w:hanging="360"/>
      </w:pPr>
      <w:rPr>
        <w:rFonts w:ascii="OpenSymbol" w:hAnsi="OpenSymbol" w:cs="OpenSymbol" w:hint="default"/>
      </w:rPr>
    </w:lvl>
    <w:lvl w:ilvl="3">
      <w:start w:val="1"/>
      <w:numFmt w:val="bullet"/>
      <w:lvlText w:val=""/>
      <w:lvlJc w:val="left"/>
      <w:pPr>
        <w:tabs>
          <w:tab w:val="num" w:pos="0"/>
        </w:tabs>
        <w:ind w:left="2880" w:hanging="360"/>
      </w:pPr>
      <w:rPr>
        <w:rFonts w:ascii="Wingdings" w:hAnsi="Wingdings" w:cs="Wingdings" w:hint="default"/>
      </w:rPr>
    </w:lvl>
    <w:lvl w:ilvl="4">
      <w:start w:val="1"/>
      <w:numFmt w:val="bullet"/>
      <w:lvlText w:val=""/>
      <w:lvlJc w:val="left"/>
      <w:pPr>
        <w:tabs>
          <w:tab w:val="num" w:pos="0"/>
        </w:tabs>
        <w:ind w:left="3600" w:hanging="360"/>
      </w:pPr>
      <w:rPr>
        <w:rFonts w:ascii="Wingdings 2" w:hAnsi="Wingdings 2" w:cs="Wingdings 2" w:hint="default"/>
      </w:rPr>
    </w:lvl>
    <w:lvl w:ilvl="5">
      <w:start w:val="1"/>
      <w:numFmt w:val="bullet"/>
      <w:lvlText w:val="■"/>
      <w:lvlJc w:val="left"/>
      <w:pPr>
        <w:tabs>
          <w:tab w:val="num" w:pos="0"/>
        </w:tabs>
        <w:ind w:left="4320" w:hanging="360"/>
      </w:pPr>
      <w:rPr>
        <w:rFonts w:ascii="OpenSymbol" w:hAnsi="OpenSymbol" w:cs="OpenSymbol" w:hint="default"/>
      </w:rPr>
    </w:lvl>
    <w:lvl w:ilvl="6">
      <w:start w:val="1"/>
      <w:numFmt w:val="bullet"/>
      <w:lvlText w:val=""/>
      <w:lvlJc w:val="left"/>
      <w:pPr>
        <w:tabs>
          <w:tab w:val="num" w:pos="0"/>
        </w:tabs>
        <w:ind w:left="5040" w:hanging="360"/>
      </w:pPr>
      <w:rPr>
        <w:rFonts w:ascii="Wingdings" w:hAnsi="Wingdings" w:cs="Wingdings" w:hint="default"/>
      </w:rPr>
    </w:lvl>
    <w:lvl w:ilvl="7">
      <w:start w:val="1"/>
      <w:numFmt w:val="bullet"/>
      <w:lvlText w:val=""/>
      <w:lvlJc w:val="left"/>
      <w:pPr>
        <w:tabs>
          <w:tab w:val="num" w:pos="0"/>
        </w:tabs>
        <w:ind w:left="5760" w:hanging="360"/>
      </w:pPr>
      <w:rPr>
        <w:rFonts w:ascii="Wingdings" w:hAnsi="Wingdings" w:cs="Wingdings"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1"/>
    <w:lvlOverride w:ilvl="0">
      <w:startOverride w:val="1"/>
    </w:lvlOverride>
  </w:num>
</w:numbering>
</file>

<file path=word/settings.xml><?xml version="1.0" encoding="utf-8"?>
<w:settings xmlns:w="http://schemas.openxmlformats.org/wordprocessingml/2006/main">
  <w:zoom w:percent="110"/>
  <w:defaultTabStop w:val="720"/>
  <w:autoHyphenation w:val="true"/>
  <w:compat>
    <w:compatSetting w:name="compatibilityMode" w:uri="http://schemas.microsoft.com/office/word" w:val="12"/>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Calibri"/>
        <w:lang w:val="en-US" w:eastAsia="zh-CN" w:bidi="hi-IN"/>
      </w:rPr>
    </w:rPrDefault>
    <w:pPrDefault>
      <w:pPr>
        <w:suppressAutoHyphens w:val="true"/>
      </w:pPr>
    </w:pPrDefault>
  </w:docDefaults>
  <w:style w:type="paragraph" w:styleId="Normal">
    <w:name w:val="Normal"/>
    <w:qFormat/>
    <w:pPr>
      <w:widowControl/>
      <w:bidi w:val="0"/>
      <w:spacing w:before="0" w:after="0"/>
      <w:jc w:val="left"/>
    </w:pPr>
    <w:rPr>
      <w:rFonts w:ascii="Calibri" w:hAnsi="Calibri" w:eastAsia="Calibri" w:cs="Calibri"/>
      <w:color w:val="auto"/>
      <w:kern w:val="0"/>
      <w:sz w:val="20"/>
      <w:szCs w:val="20"/>
      <w:lang w:val="en-US" w:eastAsia="zh-CN" w:bidi="hi-IN"/>
    </w:rPr>
  </w:style>
  <w:style w:type="paragraph" w:styleId="Heading1">
    <w:name w:val="Heading 1"/>
    <w:basedOn w:val="Heading"/>
    <w:qFormat/>
    <w:pPr/>
    <w:rPr>
      <w:color w:val="2E74B5"/>
      <w:sz w:val="32"/>
      <w:szCs w:val="32"/>
    </w:rPr>
  </w:style>
  <w:style w:type="paragraph" w:styleId="Heading2">
    <w:name w:val="Heading 2"/>
    <w:basedOn w:val="Heading"/>
    <w:qFormat/>
    <w:pPr/>
    <w:rPr>
      <w:color w:val="2E74B5"/>
      <w:sz w:val="26"/>
      <w:szCs w:val="26"/>
    </w:rPr>
  </w:style>
  <w:style w:type="paragraph" w:styleId="Heading3">
    <w:name w:val="Heading 3"/>
    <w:basedOn w:val="Heading"/>
    <w:qFormat/>
    <w:pPr/>
    <w:rPr>
      <w:color w:val="1F4D78"/>
      <w:sz w:val="24"/>
      <w:szCs w:val="24"/>
    </w:rPr>
  </w:style>
  <w:style w:type="paragraph" w:styleId="Heading4">
    <w:name w:val="Heading 4"/>
    <w:basedOn w:val="Heading"/>
    <w:qFormat/>
    <w:pPr/>
    <w:rPr>
      <w:i/>
      <w:iCs/>
      <w:color w:val="2E74B5"/>
    </w:rPr>
  </w:style>
  <w:style w:type="paragraph" w:styleId="Heading5">
    <w:name w:val="Heading 5"/>
    <w:basedOn w:val="Heading"/>
    <w:qFormat/>
    <w:pPr/>
    <w:rPr>
      <w:color w:val="2E74B5"/>
    </w:rPr>
  </w:style>
  <w:style w:type="paragraph" w:styleId="Heading6">
    <w:name w:val="Heading 6"/>
    <w:basedOn w:val="Heading"/>
    <w:qFormat/>
    <w:pPr/>
    <w:rPr>
      <w:color w:val="1F4D78"/>
    </w:rPr>
  </w:style>
  <w:style w:type="character" w:styleId="Hyperlink">
    <w:name w:val="Hyperlink"/>
    <w:uiPriority w:val="99"/>
    <w:unhideWhenUsed/>
    <w:rPr>
      <w:color w:val="0563C1"/>
      <w:u w:val="single"/>
    </w:rPr>
  </w:style>
  <w:style w:type="character" w:styleId="FootnoteCharacters">
    <w:name w:val="Footnote Characters"/>
    <w:uiPriority w:val="99"/>
    <w:semiHidden/>
    <w:unhideWhenUsed/>
    <w:qFormat/>
    <w:rPr>
      <w:vertAlign w:val="superscript"/>
    </w:rPr>
  </w:style>
  <w:style w:type="character" w:styleId="FootnoteReference">
    <w:name w:val="Footnote Reference"/>
    <w:rPr>
      <w:vertAlign w:val="superscript"/>
    </w:rPr>
  </w:style>
  <w:style w:type="character" w:styleId="FootnoteTextChar">
    <w:name w:val="Footnote Text Char"/>
    <w:link w:val="FootnoteText"/>
    <w:uiPriority w:val="99"/>
    <w:semiHidden/>
    <w:unhideWhenUsed/>
    <w:qFormat/>
    <w:rPr>
      <w:sz w:val="20"/>
      <w:szCs w:val="20"/>
    </w:rPr>
  </w:style>
  <w:style w:type="character" w:styleId="EndnoteCharacters">
    <w:name w:val="Endnote Characters"/>
    <w:uiPriority w:val="99"/>
    <w:semiHidden/>
    <w:unhideWhenUsed/>
    <w:qFormat/>
    <w:rPr>
      <w:vertAlign w:val="superscript"/>
    </w:rPr>
  </w:style>
  <w:style w:type="character" w:styleId="EndnoteReference">
    <w:name w:val="Endnote Reference"/>
    <w:rPr>
      <w:vertAlign w:val="superscript"/>
    </w:rPr>
  </w:style>
  <w:style w:type="character" w:styleId="EndnoteTextChar">
    <w:name w:val="Endnote Text Char"/>
    <w:link w:val="EndnoteText"/>
    <w:uiPriority w:val="99"/>
    <w:semiHidden/>
    <w:unhideWhenUsed/>
    <w:qFormat/>
    <w:rPr>
      <w:sz w:val="20"/>
      <w:szCs w:val="20"/>
    </w:rPr>
  </w:style>
  <w:style w:type="paragraph" w:styleId="Heading">
    <w:name w:val="Heading"/>
    <w:basedOn w:val="Normal"/>
    <w:next w:val="BodyText"/>
    <w:qFormat/>
    <w:pPr>
      <w:keepNext w:val="true"/>
      <w:spacing w:before="240" w:after="120"/>
    </w:pPr>
    <w:rPr>
      <w:rFonts w:ascii="Liberation Sans" w:hAnsi="Liberation Sans" w:eastAsia="Microsoft YaHei" w:cs="Lucida 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Index">
    <w:name w:val="Index"/>
    <w:basedOn w:val="Normal"/>
    <w:qFormat/>
    <w:pPr>
      <w:suppressLineNumbers/>
    </w:pPr>
    <w:rPr>
      <w:rFonts w:cs="Lucida Sans"/>
    </w:rPr>
  </w:style>
  <w:style w:type="paragraph" w:styleId="Title">
    <w:name w:val="Title"/>
    <w:basedOn w:val="Heading"/>
    <w:qFormat/>
    <w:pPr/>
    <w:rPr>
      <w:sz w:val="56"/>
      <w:szCs w:val="56"/>
    </w:rPr>
  </w:style>
  <w:style w:type="paragraph" w:styleId="StrongEmphasis">
    <w:name w:val="Strong Emphasis"/>
    <w:qFormat/>
    <w:pPr>
      <w:widowControl/>
      <w:bidi w:val="0"/>
      <w:spacing w:before="0" w:after="0"/>
      <w:jc w:val="left"/>
    </w:pPr>
    <w:rPr>
      <w:rFonts w:ascii="Calibri" w:hAnsi="Calibri" w:eastAsia="Calibri" w:cs="Calibri"/>
      <w:b/>
      <w:bCs/>
      <w:color w:val="auto"/>
      <w:kern w:val="0"/>
      <w:sz w:val="20"/>
      <w:szCs w:val="20"/>
      <w:lang w:val="en-US" w:eastAsia="zh-CN" w:bidi="hi-IN"/>
    </w:rPr>
  </w:style>
  <w:style w:type="paragraph" w:styleId="ListParagraph">
    <w:name w:val="List Paragraph"/>
    <w:qFormat/>
    <w:pPr>
      <w:widowControl/>
      <w:bidi w:val="0"/>
      <w:spacing w:before="0" w:after="0"/>
      <w:jc w:val="left"/>
    </w:pPr>
    <w:rPr>
      <w:rFonts w:ascii="Calibri" w:hAnsi="Calibri" w:eastAsia="Calibri" w:cs="Calibri"/>
      <w:color w:val="auto"/>
      <w:kern w:val="0"/>
      <w:sz w:val="20"/>
      <w:szCs w:val="20"/>
      <w:lang w:val="en-US" w:eastAsia="zh-CN" w:bidi="hi-IN"/>
    </w:rPr>
  </w:style>
  <w:style w:type="paragraph" w:styleId="FootnoteText">
    <w:name w:val="Footnote Text"/>
    <w:basedOn w:val="Normal"/>
    <w:link w:val="FootnoteTextChar"/>
    <w:uiPriority w:val="99"/>
    <w:semiHidden/>
    <w:unhideWhenUsed/>
    <w:pPr>
      <w:spacing w:lineRule="auto" w:line="240" w:before="0" w:after="0"/>
    </w:pPr>
    <w:rPr>
      <w:sz w:val="20"/>
      <w:szCs w:val="20"/>
    </w:rPr>
  </w:style>
  <w:style w:type="paragraph" w:styleId="EndnoteText">
    <w:name w:val="Endnote Text"/>
    <w:basedOn w:val="Normal"/>
    <w:link w:val="EndnoteTextChar"/>
    <w:uiPriority w:val="99"/>
    <w:semiHidden/>
    <w:unhideWhenUsed/>
    <w:pPr>
      <w:spacing w:lineRule="auto" w:line="240" w:before="0" w:after="0"/>
    </w:pPr>
    <w:rPr>
      <w:sz w:val="20"/>
      <w:szCs w:val="20"/>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numbering" Target="numbering.xml"/><Relationship Id="rId4" Type="http://schemas.openxmlformats.org/officeDocument/2006/relationships/fontTable" Target="fontTable.xml"/><Relationship Id="rId5" Type="http://schemas.openxmlformats.org/officeDocument/2006/relationships/settings" Target="settings.xml"/><Relationship Id="rId6"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Them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
  <TotalTime>2</TotalTime>
  <Application>ePub_Reader/1.0.0.0$Windows_X86_64 LibreOffice_project/</Application>
  <AppVersion>15.0000</AppVersion>
  <Pages>3</Pages>
  <Words>1372</Words>
  <Characters>7088</Characters>
  <CharactersWithSpaces>8380</CharactersWithSpaces>
  <Paragraphs>81</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2026-08-07T16:01:09Z</dcterms:created>
  <dc:creator>Un-named</dc:creator>
  <dc:description/>
  <dc:language>en-US</dc:language>
  <cp:lastModifiedBy/>
  <dcterms:modified xsi:type="dcterms:W3CDTF">2026-08-07T18:13:36Z</dcterms:modified>
  <cp:revision>2</cp:revision>
  <dc:subject/>
  <dc:title/>
</cp:coreProperties>
</file>