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b/>
          <w:i w:val="0"/>
          <w:color w:val="E07B00"/>
          <w:sz w:val="18"/>
        </w:rPr>
        <w:t>DOBY BAXTER COMPUTING</w:t>
      </w:r>
    </w:p>
    <w:p>
      <w:pPr>
        <w:spacing w:after="40" w:before="0"/>
      </w:pPr>
      <w:r>
        <w:rPr>
          <w:rFonts w:ascii="Calibri" w:hAnsi="Calibri"/>
          <w:b/>
          <w:i w:val="0"/>
          <w:color w:val="1A1A2E"/>
          <w:sz w:val="40"/>
        </w:rPr>
        <w:t>Systems Audit &amp; Validation — Sample Findings Report</w:t>
      </w:r>
    </w:p>
    <w:p>
      <w:pPr>
        <w:spacing w:after="160" w:before="0"/>
      </w:pPr>
      <w:r>
        <w:rPr>
          <w:rFonts w:ascii="Calibri" w:hAnsi="Calibri"/>
          <w:b w:val="0"/>
          <w:i/>
          <w:color w:val="595959"/>
          <w:sz w:val="22"/>
        </w:rPr>
        <w:t>Predictable, observable, and hard to misconfigure.</w:t>
      </w:r>
    </w:p>
    <w:tbl>
      <w:tblPr>
        <w:tblW w:type="auto" w:w="0"/>
        <w:jc w:val="center"/>
        <w:tblLook w:firstColumn="1" w:firstRow="1" w:lastColumn="0" w:lastRow="0" w:noHBand="0" w:noVBand="1" w:val="04A0"/>
      </w:tblPr>
      <w:tblGrid>
        <w:gridCol w:w="9648"/>
      </w:tblGrid>
      <w:tr>
        <w:tc>
          <w:tcPr>
            <w:tcW w:type="dxa" w:w="9648"/>
            <w:shd w:val="clear" w:color="auto" w:fill="FFF4E6"/>
          </w:tcPr>
          <w:p>
            <w:pPr>
              <w:spacing w:after="40"/>
            </w:pPr>
            <w:r>
              <w:rPr>
                <w:rFonts w:ascii="Calibri" w:hAnsi="Calibri"/>
                <w:b/>
                <w:color w:val="E07B00"/>
                <w:sz w:val="20"/>
              </w:rPr>
              <w:t xml:space="preserve">This is an illustrative example, not a real client report. </w:t>
            </w:r>
            <w:r>
              <w:rPr>
                <w:rFonts w:ascii="Calibri" w:hAnsi="Calibri"/>
                <w:color w:val="1A1A2E"/>
                <w:sz w:val="20"/>
              </w:rPr>
              <w:t>It is built on a fictional system (“Northwind Logistics”) to show the structure, depth, and tone of what a real engagement delivers. No real client data appears anywhere in this document.</w:t>
            </w:r>
          </w:p>
        </w:tc>
      </w:tr>
    </w:tbl>
    <w:p>
      <w:pPr>
        <w:spacing w:after="120" w:before="0"/>
      </w:pPr>
    </w:p>
    <w:tbl>
      <w:tblPr>
        <w:tblW w:type="auto" w:w="0"/>
        <w:jc w:val="left"/>
        <w:tblLook w:firstColumn="1" w:firstRow="1" w:lastColumn="0" w:lastRow="0" w:noHBand="0" w:noVBand="1" w:val="04A0"/>
      </w:tblPr>
      <w:tblGrid>
        <w:gridCol w:w="4824"/>
        <w:gridCol w:w="4824"/>
      </w:tblGrid>
      <w:tr>
        <w:tc>
          <w:tcPr>
            <w:tcW w:type="dxa" w:w="4824"/>
            <w:shd w:val="clear" w:color="auto" w:fill="F3F4F8"/>
          </w:tcPr>
          <w:p>
            <w:r>
              <w:rPr>
                <w:rFonts w:ascii="Calibri" w:hAnsi="Calibri"/>
                <w:b/>
                <w:color w:val="1A1A2E"/>
                <w:sz w:val="19"/>
              </w:rPr>
              <w:t>Client (fictional)</w:t>
            </w:r>
          </w:p>
        </w:tc>
        <w:tc>
          <w:tcPr>
            <w:tcW w:type="dxa" w:w="4824"/>
          </w:tcPr>
          <w:p>
            <w:r>
              <w:rPr>
                <w:rFonts w:ascii="Calibri" w:hAnsi="Calibri"/>
                <w:color w:val="1A1A2E"/>
                <w:sz w:val="19"/>
              </w:rPr>
              <w:t>Northwind Logistics — mid-size freight &amp; fulfilment platform</w:t>
            </w:r>
          </w:p>
        </w:tc>
      </w:tr>
      <w:tr>
        <w:tc>
          <w:tcPr>
            <w:tcW w:type="dxa" w:w="4824"/>
            <w:shd w:val="clear" w:color="auto" w:fill="F3F4F8"/>
          </w:tcPr>
          <w:p>
            <w:r>
              <w:rPr>
                <w:rFonts w:ascii="Calibri" w:hAnsi="Calibri"/>
                <w:b/>
                <w:color w:val="1A1A2E"/>
                <w:sz w:val="19"/>
              </w:rPr>
              <w:t>Tier</w:t>
            </w:r>
          </w:p>
        </w:tc>
        <w:tc>
          <w:tcPr>
            <w:tcW w:type="dxa" w:w="4824"/>
          </w:tcPr>
          <w:p>
            <w:r>
              <w:rPr>
                <w:rFonts w:ascii="Calibri" w:hAnsi="Calibri"/>
                <w:color w:val="1A1A2E"/>
                <w:sz w:val="19"/>
              </w:rPr>
              <w:t>Validation &amp; Fault Testing (hands-on) — includes read-only review</w:t>
            </w:r>
          </w:p>
        </w:tc>
      </w:tr>
      <w:tr>
        <w:tc>
          <w:tcPr>
            <w:tcW w:type="dxa" w:w="4824"/>
            <w:shd w:val="clear" w:color="auto" w:fill="F3F4F8"/>
          </w:tcPr>
          <w:p>
            <w:r>
              <w:rPr>
                <w:rFonts w:ascii="Calibri" w:hAnsi="Calibri"/>
                <w:b/>
                <w:color w:val="1A1A2E"/>
                <w:sz w:val="19"/>
              </w:rPr>
              <w:t>Environment tested</w:t>
            </w:r>
          </w:p>
        </w:tc>
        <w:tc>
          <w:tcPr>
            <w:tcW w:type="dxa" w:w="4824"/>
          </w:tcPr>
          <w:p>
            <w:r>
              <w:rPr>
                <w:rFonts w:ascii="Calibri" w:hAnsi="Calibri"/>
                <w:color w:val="1A1A2E"/>
                <w:sz w:val="19"/>
              </w:rPr>
              <w:t>Nominated staging mirror · never production · written sign-off on file</w:t>
            </w:r>
          </w:p>
        </w:tc>
      </w:tr>
      <w:tr>
        <w:tc>
          <w:tcPr>
            <w:tcW w:type="dxa" w:w="4824"/>
            <w:shd w:val="clear" w:color="auto" w:fill="F3F4F8"/>
          </w:tcPr>
          <w:p>
            <w:r>
              <w:rPr>
                <w:rFonts w:ascii="Calibri" w:hAnsi="Calibri"/>
                <w:b/>
                <w:color w:val="1A1A2E"/>
                <w:sz w:val="19"/>
              </w:rPr>
              <w:t>Report status</w:t>
            </w:r>
          </w:p>
        </w:tc>
        <w:tc>
          <w:tcPr>
            <w:tcW w:type="dxa" w:w="4824"/>
          </w:tcPr>
          <w:p>
            <w:r>
              <w:rPr>
                <w:rFonts w:ascii="Calibri" w:hAnsi="Calibri"/>
                <w:color w:val="1A1A2E"/>
                <w:sz w:val="19"/>
              </w:rPr>
              <w:t>Illustrative sample · v1.0</w:t>
            </w:r>
          </w:p>
        </w:tc>
      </w:tr>
    </w:tbl>
    <w:p>
      <w:pPr>
        <w:spacing w:after="120" w:before="0"/>
      </w:pPr>
    </w:p>
    <w:p>
      <w:pPr>
        <w:spacing w:after="80" w:before="240"/>
      </w:pPr>
      <w:r>
        <w:rPr>
          <w:rFonts w:ascii="Calibri" w:hAnsi="Calibri"/>
          <w:b/>
          <w:i w:val="0"/>
          <w:color w:val="1A1A2E"/>
          <w:sz w:val="30"/>
        </w:rPr>
        <w:t>1 · Executive summary</w:t>
      </w:r>
    </w:p>
    <w:p>
      <w:pPr>
        <w:spacing w:after="160" w:before="40"/>
        <w:pBdr>
          <w:bottom w:val="single" w:sz="6" w:space="1" w:color="E07B00"/>
        </w:pBdr>
      </w:pPr>
    </w:p>
    <w:p>
      <w:pPr>
        <w:spacing w:after="120" w:before="0"/>
      </w:pPr>
      <w:r>
        <w:rPr>
          <w:rFonts w:ascii="Calibri" w:hAnsi="Calibri"/>
          <w:b w:val="0"/>
          <w:i w:val="0"/>
          <w:color w:val="1A1A2E"/>
          <w:sz w:val="21"/>
        </w:rPr>
        <w:t>Northwind's order pipeline works most of the time. The engagement was commissioned because it occasionally does not, and no one could explain why. The failures were intermittent, environment-specific, and never reproduced on demand — the classic signature of configuration that fails silently rather than loudly.</w:t>
      </w:r>
    </w:p>
    <w:p>
      <w:pPr>
        <w:spacing w:after="120" w:before="0"/>
      </w:pPr>
      <w:r>
        <w:rPr>
          <w:rFonts w:ascii="Calibri" w:hAnsi="Calibri"/>
          <w:b w:val="0"/>
          <w:i w:val="0"/>
          <w:color w:val="1A1A2E"/>
          <w:sz w:val="21"/>
        </w:rPr>
        <w:t>Across the review I found seven issues. Two are high severity: a configuration value that is validated in staging but not in production, and a CI check that was silently skipped for eleven months. Neither would surface in normal testing, and both sit directly on the path of the outages Northwind described. The remaining five range from medium to low, and are included with fixes so they don't become the next high-severity finding.</w:t>
      </w:r>
    </w:p>
    <w:p>
      <w:pPr>
        <w:spacing w:after="120" w:before="0"/>
      </w:pPr>
      <w:r>
        <w:rPr>
          <w:rFonts w:ascii="Calibri" w:hAnsi="Calibri"/>
          <w:b w:val="0"/>
          <w:i w:val="0"/>
          <w:color w:val="1A1A2E"/>
          <w:sz w:val="21"/>
        </w:rPr>
        <w:t>Every finding below is paired with a concrete guardrail — a validation layer, a CI gate, or a config check — written so your own engineers can implement it and so the same class of failure cannot quietly return.</w:t>
      </w:r>
    </w:p>
    <w:p>
      <w:pPr>
        <w:spacing w:after="120" w:before="0"/>
      </w:pPr>
      <w:r>
        <w:rPr>
          <w:rFonts w:ascii="Calibri" w:hAnsi="Calibri"/>
          <w:b w:val="0"/>
          <w:i/>
          <w:color w:val="595959"/>
          <w:sz w:val="19"/>
        </w:rPr>
        <w:t>This was a Validation &amp; Fault Testing engagement: the read-only review below was followed by deliberate fault-injection in a nominated staging mirror, run only after written sign-off and never against production. A read-only Reliability Review delivers the same findings and guardrails, minus the live fault-injection.</w:t>
      </w:r>
    </w:p>
    <w:p>
      <w:pPr>
        <w:spacing w:after="80" w:before="240"/>
      </w:pPr>
      <w:r>
        <w:rPr>
          <w:rFonts w:ascii="Calibri" w:hAnsi="Calibri"/>
          <w:b/>
          <w:i w:val="0"/>
          <w:color w:val="1A1A2E"/>
          <w:sz w:val="24"/>
        </w:rPr>
        <w:t>Findings at a glance</w:t>
      </w:r>
    </w:p>
    <w:tbl>
      <w:tblPr>
        <w:tblStyle w:val="TableGrid"/>
        <w:tblW w:type="auto" w:w="0"/>
        <w:tblLook w:firstColumn="1" w:firstRow="1" w:lastColumn="0" w:lastRow="0" w:noHBand="0" w:noVBand="1" w:val="04A0"/>
      </w:tblPr>
      <w:tblGrid>
        <w:gridCol w:w="2412"/>
        <w:gridCol w:w="2412"/>
        <w:gridCol w:w="2412"/>
        <w:gridCol w:w="2412"/>
      </w:tblGrid>
      <w:tr>
        <w:tc>
          <w:tcPr>
            <w:tcW w:type="dxa" w:w="2412"/>
            <w:shd w:val="clear" w:color="auto" w:fill="1A1A2E"/>
          </w:tcPr>
          <w:p>
            <w:r>
              <w:rPr>
                <w:rFonts w:ascii="Calibri" w:hAnsi="Calibri"/>
                <w:b/>
                <w:color w:val="FFFFFF"/>
                <w:sz w:val="19"/>
              </w:rPr>
              <w:t>ID</w:t>
            </w:r>
          </w:p>
        </w:tc>
        <w:tc>
          <w:tcPr>
            <w:tcW w:type="dxa" w:w="2412"/>
            <w:shd w:val="clear" w:color="auto" w:fill="1A1A2E"/>
          </w:tcPr>
          <w:p>
            <w:r>
              <w:rPr>
                <w:rFonts w:ascii="Calibri" w:hAnsi="Calibri"/>
                <w:b/>
                <w:color w:val="FFFFFF"/>
                <w:sz w:val="19"/>
              </w:rPr>
              <w:t>Finding</w:t>
            </w:r>
          </w:p>
        </w:tc>
        <w:tc>
          <w:tcPr>
            <w:tcW w:type="dxa" w:w="2412"/>
            <w:shd w:val="clear" w:color="auto" w:fill="1A1A2E"/>
          </w:tcPr>
          <w:p>
            <w:r>
              <w:rPr>
                <w:rFonts w:ascii="Calibri" w:hAnsi="Calibri"/>
                <w:b/>
                <w:color w:val="FFFFFF"/>
                <w:sz w:val="19"/>
              </w:rPr>
              <w:t>Severity</w:t>
            </w:r>
          </w:p>
        </w:tc>
        <w:tc>
          <w:tcPr>
            <w:tcW w:type="dxa" w:w="2412"/>
            <w:shd w:val="clear" w:color="auto" w:fill="1A1A2E"/>
          </w:tcPr>
          <w:p>
            <w:r>
              <w:rPr>
                <w:rFonts w:ascii="Calibri" w:hAnsi="Calibri"/>
                <w:b/>
                <w:color w:val="FFFFFF"/>
                <w:sz w:val="19"/>
              </w:rPr>
              <w:t>Blast radius</w:t>
            </w:r>
          </w:p>
        </w:tc>
      </w:tr>
      <w:tr>
        <w:tc>
          <w:tcPr>
            <w:tcW w:type="dxa" w:w="2412"/>
          </w:tcPr>
          <w:p>
            <w:r>
              <w:rPr>
                <w:rFonts w:ascii="Calibri" w:hAnsi="Calibri"/>
                <w:color w:val="1A1A2E"/>
                <w:sz w:val="19"/>
              </w:rPr>
              <w:t>F-01</w:t>
            </w:r>
          </w:p>
        </w:tc>
        <w:tc>
          <w:tcPr>
            <w:tcW w:type="dxa" w:w="2412"/>
          </w:tcPr>
          <w:p>
            <w:r>
              <w:rPr>
                <w:rFonts w:ascii="Calibri" w:hAnsi="Calibri"/>
                <w:color w:val="1A1A2E"/>
                <w:sz w:val="19"/>
              </w:rPr>
              <w:t>Config validated in staging but not production</w:t>
            </w:r>
          </w:p>
        </w:tc>
        <w:tc>
          <w:tcPr>
            <w:tcW w:type="dxa" w:w="2412"/>
          </w:tcPr>
          <w:p>
            <w:r>
              <w:rPr>
                <w:rFonts w:ascii="Calibri" w:hAnsi="Calibri"/>
                <w:b/>
                <w:color w:val="E07B00"/>
                <w:sz w:val="19"/>
              </w:rPr>
              <w:t>High</w:t>
            </w:r>
          </w:p>
        </w:tc>
        <w:tc>
          <w:tcPr>
            <w:tcW w:type="dxa" w:w="2412"/>
          </w:tcPr>
          <w:p>
            <w:r>
              <w:rPr>
                <w:rFonts w:ascii="Calibri" w:hAnsi="Calibri"/>
                <w:color w:val="1A1A2E"/>
                <w:sz w:val="19"/>
              </w:rPr>
              <w:t>Whole order pipeline</w:t>
            </w:r>
          </w:p>
        </w:tc>
      </w:tr>
      <w:tr>
        <w:tc>
          <w:tcPr>
            <w:tcW w:type="dxa" w:w="2412"/>
          </w:tcPr>
          <w:p>
            <w:r>
              <w:rPr>
                <w:rFonts w:ascii="Calibri" w:hAnsi="Calibri"/>
                <w:color w:val="1A1A2E"/>
                <w:sz w:val="19"/>
              </w:rPr>
              <w:t>F-02</w:t>
            </w:r>
          </w:p>
        </w:tc>
        <w:tc>
          <w:tcPr>
            <w:tcW w:type="dxa" w:w="2412"/>
          </w:tcPr>
          <w:p>
            <w:r>
              <w:rPr>
                <w:rFonts w:ascii="Calibri" w:hAnsi="Calibri"/>
                <w:color w:val="1A1A2E"/>
                <w:sz w:val="19"/>
              </w:rPr>
              <w:t>CI validation stage silently skipped since Sep</w:t>
            </w:r>
          </w:p>
        </w:tc>
        <w:tc>
          <w:tcPr>
            <w:tcW w:type="dxa" w:w="2412"/>
          </w:tcPr>
          <w:p>
            <w:r>
              <w:rPr>
                <w:rFonts w:ascii="Calibri" w:hAnsi="Calibri"/>
                <w:b/>
                <w:color w:val="E07B00"/>
                <w:sz w:val="19"/>
              </w:rPr>
              <w:t>High</w:t>
            </w:r>
          </w:p>
        </w:tc>
        <w:tc>
          <w:tcPr>
            <w:tcW w:type="dxa" w:w="2412"/>
          </w:tcPr>
          <w:p>
            <w:r>
              <w:rPr>
                <w:rFonts w:ascii="Calibri" w:hAnsi="Calibri"/>
                <w:color w:val="1A1A2E"/>
                <w:sz w:val="19"/>
              </w:rPr>
              <w:t>All deployments</w:t>
            </w:r>
          </w:p>
        </w:tc>
      </w:tr>
      <w:tr>
        <w:tc>
          <w:tcPr>
            <w:tcW w:type="dxa" w:w="2412"/>
          </w:tcPr>
          <w:p>
            <w:r>
              <w:rPr>
                <w:rFonts w:ascii="Calibri" w:hAnsi="Calibri"/>
                <w:color w:val="1A1A2E"/>
                <w:sz w:val="19"/>
              </w:rPr>
              <w:t>F-03</w:t>
            </w:r>
          </w:p>
        </w:tc>
        <w:tc>
          <w:tcPr>
            <w:tcW w:type="dxa" w:w="2412"/>
          </w:tcPr>
          <w:p>
            <w:r>
              <w:rPr>
                <w:rFonts w:ascii="Calibri" w:hAnsi="Calibri"/>
                <w:color w:val="1A1A2E"/>
                <w:sz w:val="19"/>
              </w:rPr>
              <w:t>Two services disagree on the same timeout value</w:t>
            </w:r>
          </w:p>
        </w:tc>
        <w:tc>
          <w:tcPr>
            <w:tcW w:type="dxa" w:w="2412"/>
          </w:tcPr>
          <w:p>
            <w:r>
              <w:rPr>
                <w:rFonts w:ascii="Calibri" w:hAnsi="Calibri"/>
                <w:b/>
                <w:color w:val="B8860B"/>
                <w:sz w:val="19"/>
              </w:rPr>
              <w:t>Medium</w:t>
            </w:r>
          </w:p>
        </w:tc>
        <w:tc>
          <w:tcPr>
            <w:tcW w:type="dxa" w:w="2412"/>
          </w:tcPr>
          <w:p>
            <w:r>
              <w:rPr>
                <w:rFonts w:ascii="Calibri" w:hAnsi="Calibri"/>
                <w:color w:val="1A1A2E"/>
                <w:sz w:val="19"/>
              </w:rPr>
              <w:t>Checkout + fulfilment</w:t>
            </w:r>
          </w:p>
        </w:tc>
      </w:tr>
      <w:tr>
        <w:tc>
          <w:tcPr>
            <w:tcW w:type="dxa" w:w="2412"/>
          </w:tcPr>
          <w:p>
            <w:r>
              <w:rPr>
                <w:rFonts w:ascii="Calibri" w:hAnsi="Calibri"/>
                <w:color w:val="1A1A2E"/>
                <w:sz w:val="19"/>
              </w:rPr>
              <w:t>F-04</w:t>
            </w:r>
          </w:p>
        </w:tc>
        <w:tc>
          <w:tcPr>
            <w:tcW w:type="dxa" w:w="2412"/>
          </w:tcPr>
          <w:p>
            <w:r>
              <w:rPr>
                <w:rFonts w:ascii="Calibri" w:hAnsi="Calibri"/>
                <w:color w:val="1A1A2E"/>
                <w:sz w:val="19"/>
              </w:rPr>
              <w:t>Secrets loaded from env with no schema check</w:t>
            </w:r>
          </w:p>
        </w:tc>
        <w:tc>
          <w:tcPr>
            <w:tcW w:type="dxa" w:w="2412"/>
          </w:tcPr>
          <w:p>
            <w:r>
              <w:rPr>
                <w:rFonts w:ascii="Calibri" w:hAnsi="Calibri"/>
                <w:b/>
                <w:color w:val="B8860B"/>
                <w:sz w:val="19"/>
              </w:rPr>
              <w:t>Medium</w:t>
            </w:r>
          </w:p>
        </w:tc>
        <w:tc>
          <w:tcPr>
            <w:tcW w:type="dxa" w:w="2412"/>
          </w:tcPr>
          <w:p>
            <w:r>
              <w:rPr>
                <w:rFonts w:ascii="Calibri" w:hAnsi="Calibri"/>
                <w:color w:val="1A1A2E"/>
                <w:sz w:val="19"/>
              </w:rPr>
              <w:t>Auth boundary</w:t>
            </w:r>
          </w:p>
        </w:tc>
      </w:tr>
      <w:tr>
        <w:tc>
          <w:tcPr>
            <w:tcW w:type="dxa" w:w="2412"/>
          </w:tcPr>
          <w:p>
            <w:r>
              <w:rPr>
                <w:rFonts w:ascii="Calibri" w:hAnsi="Calibri"/>
                <w:color w:val="1A1A2E"/>
                <w:sz w:val="19"/>
              </w:rPr>
              <w:t>F-05</w:t>
            </w:r>
          </w:p>
        </w:tc>
        <w:tc>
          <w:tcPr>
            <w:tcW w:type="dxa" w:w="2412"/>
          </w:tcPr>
          <w:p>
            <w:r>
              <w:rPr>
                <w:rFonts w:ascii="Calibri" w:hAnsi="Calibri"/>
                <w:color w:val="1A1A2E"/>
                <w:sz w:val="19"/>
              </w:rPr>
              <w:t>Retry logic can double-submit an order</w:t>
            </w:r>
          </w:p>
        </w:tc>
        <w:tc>
          <w:tcPr>
            <w:tcW w:type="dxa" w:w="2412"/>
          </w:tcPr>
          <w:p>
            <w:r>
              <w:rPr>
                <w:rFonts w:ascii="Calibri" w:hAnsi="Calibri"/>
                <w:b/>
                <w:color w:val="B8860B"/>
                <w:sz w:val="19"/>
              </w:rPr>
              <w:t>Medium</w:t>
            </w:r>
          </w:p>
        </w:tc>
        <w:tc>
          <w:tcPr>
            <w:tcW w:type="dxa" w:w="2412"/>
          </w:tcPr>
          <w:p>
            <w:r>
              <w:rPr>
                <w:rFonts w:ascii="Calibri" w:hAnsi="Calibri"/>
                <w:color w:val="1A1A2E"/>
                <w:sz w:val="19"/>
              </w:rPr>
              <w:t>Customer-facing</w:t>
            </w:r>
          </w:p>
        </w:tc>
      </w:tr>
      <w:tr>
        <w:tc>
          <w:tcPr>
            <w:tcW w:type="dxa" w:w="2412"/>
          </w:tcPr>
          <w:p>
            <w:r>
              <w:rPr>
                <w:rFonts w:ascii="Calibri" w:hAnsi="Calibri"/>
                <w:color w:val="1A1A2E"/>
                <w:sz w:val="19"/>
              </w:rPr>
              <w:t>F-06</w:t>
            </w:r>
          </w:p>
        </w:tc>
        <w:tc>
          <w:tcPr>
            <w:tcW w:type="dxa" w:w="2412"/>
          </w:tcPr>
          <w:p>
            <w:r>
              <w:rPr>
                <w:rFonts w:ascii="Calibri" w:hAnsi="Calibri"/>
                <w:color w:val="1A1A2E"/>
                <w:sz w:val="19"/>
              </w:rPr>
              <w:t>Error swallowed and logged at debug level</w:t>
            </w:r>
          </w:p>
        </w:tc>
        <w:tc>
          <w:tcPr>
            <w:tcW w:type="dxa" w:w="2412"/>
          </w:tcPr>
          <w:p>
            <w:r>
              <w:rPr>
                <w:rFonts w:ascii="Calibri" w:hAnsi="Calibri"/>
                <w:b/>
                <w:color w:val="595959"/>
                <w:sz w:val="19"/>
              </w:rPr>
              <w:t>Low</w:t>
            </w:r>
          </w:p>
        </w:tc>
        <w:tc>
          <w:tcPr>
            <w:tcW w:type="dxa" w:w="2412"/>
          </w:tcPr>
          <w:p>
            <w:r>
              <w:rPr>
                <w:rFonts w:ascii="Calibri" w:hAnsi="Calibri"/>
                <w:color w:val="1A1A2E"/>
                <w:sz w:val="19"/>
              </w:rPr>
              <w:t>Observability</w:t>
            </w:r>
          </w:p>
        </w:tc>
      </w:tr>
      <w:tr>
        <w:tc>
          <w:tcPr>
            <w:tcW w:type="dxa" w:w="2412"/>
          </w:tcPr>
          <w:p>
            <w:r>
              <w:rPr>
                <w:rFonts w:ascii="Calibri" w:hAnsi="Calibri"/>
                <w:color w:val="1A1A2E"/>
                <w:sz w:val="19"/>
              </w:rPr>
              <w:t>F-07</w:t>
            </w:r>
          </w:p>
        </w:tc>
        <w:tc>
          <w:tcPr>
            <w:tcW w:type="dxa" w:w="2412"/>
          </w:tcPr>
          <w:p>
            <w:r>
              <w:rPr>
                <w:rFonts w:ascii="Calibri" w:hAnsi="Calibri"/>
                <w:color w:val="1A1A2E"/>
                <w:sz w:val="19"/>
              </w:rPr>
              <w:t>Undocumented required env var</w:t>
            </w:r>
          </w:p>
        </w:tc>
        <w:tc>
          <w:tcPr>
            <w:tcW w:type="dxa" w:w="2412"/>
          </w:tcPr>
          <w:p>
            <w:r>
              <w:rPr>
                <w:rFonts w:ascii="Calibri" w:hAnsi="Calibri"/>
                <w:b/>
                <w:color w:val="595959"/>
                <w:sz w:val="19"/>
              </w:rPr>
              <w:t>Low</w:t>
            </w:r>
          </w:p>
        </w:tc>
        <w:tc>
          <w:tcPr>
            <w:tcW w:type="dxa" w:w="2412"/>
          </w:tcPr>
          <w:p>
            <w:r>
              <w:rPr>
                <w:rFonts w:ascii="Calibri" w:hAnsi="Calibri"/>
                <w:color w:val="1A1A2E"/>
                <w:sz w:val="19"/>
              </w:rPr>
              <w:t>New-hire onboarding</w:t>
            </w:r>
          </w:p>
        </w:tc>
      </w:tr>
    </w:tbl>
    <w:p>
      <w:pPr>
        <w:spacing w:after="120" w:before="0"/>
      </w:pPr>
    </w:p>
    <w:p>
      <w:pPr>
        <w:spacing w:after="80" w:before="240"/>
      </w:pPr>
      <w:r>
        <w:rPr>
          <w:rFonts w:ascii="Calibri" w:hAnsi="Calibri"/>
          <w:b/>
          <w:i w:val="0"/>
          <w:color w:val="1A1A2E"/>
          <w:sz w:val="30"/>
        </w:rPr>
        <w:t>2 · Scope &amp; method</w:t>
      </w:r>
    </w:p>
    <w:p>
      <w:pPr>
        <w:spacing w:after="160" w:before="40"/>
        <w:pBdr>
          <w:bottom w:val="single" w:sz="6" w:space="1" w:color="E07B00"/>
        </w:pBdr>
      </w:pPr>
    </w:p>
    <w:p>
      <w:pPr>
        <w:spacing w:after="120" w:before="0"/>
      </w:pPr>
      <w:r>
        <w:rPr>
          <w:rFonts w:ascii="Calibri" w:hAnsi="Calibri"/>
          <w:b w:val="0"/>
          <w:i w:val="0"/>
          <w:color w:val="1A1A2E"/>
          <w:sz w:val="21"/>
        </w:rPr>
        <w:t>This section records exactly what was and was not examined, so the report's limits are as clear as its findings.</w:t>
      </w:r>
    </w:p>
    <w:p>
      <w:pPr>
        <w:pStyle w:val="ListBullet"/>
        <w:spacing w:after="60"/>
      </w:pPr>
      <w:r>
        <w:rPr>
          <w:rFonts w:ascii="Calibri" w:hAnsi="Calibri"/>
          <w:b/>
          <w:color w:val="1A1A2E"/>
          <w:sz w:val="21"/>
        </w:rPr>
        <w:t xml:space="preserve">In scope: </w:t>
      </w:r>
      <w:r>
        <w:rPr>
          <w:rFonts w:ascii="Calibri" w:hAnsi="Calibri"/>
          <w:color w:val="1A1A2E"/>
          <w:sz w:val="21"/>
        </w:rPr>
        <w:t>the config-driven order pipeline, its YAML and environment configuration across staging and production, the CI/CD pipeline that deploys it, and the cloud identity permissions the services run under.</w:t>
      </w:r>
    </w:p>
    <w:p>
      <w:pPr>
        <w:pStyle w:val="ListBullet"/>
        <w:spacing w:after="60"/>
      </w:pPr>
      <w:r>
        <w:rPr>
          <w:rFonts w:ascii="Calibri" w:hAnsi="Calibri"/>
          <w:b/>
          <w:color w:val="1A1A2E"/>
          <w:sz w:val="21"/>
        </w:rPr>
        <w:t xml:space="preserve">Out of scope: </w:t>
      </w:r>
      <w:r>
        <w:rPr>
          <w:rFonts w:ascii="Calibri" w:hAnsi="Calibri"/>
          <w:color w:val="1A1A2E"/>
          <w:sz w:val="21"/>
        </w:rPr>
        <w:t>the payment provider's own systems, the frontend web app, and any third-party SaaS Northwind does not control.</w:t>
      </w:r>
    </w:p>
    <w:p>
      <w:pPr>
        <w:pStyle w:val="ListBullet"/>
        <w:spacing w:after="60"/>
      </w:pPr>
      <w:r>
        <w:rPr>
          <w:rFonts w:ascii="Calibri" w:hAnsi="Calibri"/>
          <w:b/>
          <w:color w:val="1A1A2E"/>
          <w:sz w:val="21"/>
        </w:rPr>
        <w:t xml:space="preserve">Method: </w:t>
      </w:r>
      <w:r>
        <w:rPr>
          <w:rFonts w:ascii="Calibri" w:hAnsi="Calibri"/>
          <w:color w:val="1A1A2E"/>
          <w:sz w:val="21"/>
        </w:rPr>
        <w:t>a read-only configuration &amp; drift review, followed — under the Validation tier, with written sign-off — by deliberate fault-injection in a nominated staging mirror to confirm whether the system fails loudly or silently. Production was never touched.</w:t>
      </w:r>
    </w:p>
    <w:p>
      <w:pPr>
        <w:spacing w:after="80" w:before="240"/>
      </w:pPr>
      <w:r>
        <w:rPr>
          <w:rFonts w:ascii="Calibri" w:hAnsi="Calibri"/>
          <w:b/>
          <w:i w:val="0"/>
          <w:color w:val="1A1A2E"/>
          <w:sz w:val="30"/>
        </w:rPr>
        <w:t>3 · Detailed findings</w:t>
      </w:r>
    </w:p>
    <w:p>
      <w:pPr>
        <w:spacing w:after="160" w:before="40"/>
        <w:pBdr>
          <w:bottom w:val="single" w:sz="6" w:space="1" w:color="E07B00"/>
        </w:pBdr>
      </w:pPr>
    </w:p>
    <w:p>
      <w:pPr>
        <w:spacing w:after="40" w:before="200"/>
      </w:pPr>
      <w:r>
        <w:rPr>
          <w:rFonts w:ascii="Calibri" w:hAnsi="Calibri"/>
          <w:b/>
          <w:i w:val="0"/>
          <w:color w:val="1A1A2E"/>
          <w:sz w:val="26"/>
        </w:rPr>
        <w:t>F-01 · Configuration validated in staging but not in production</w:t>
      </w:r>
    </w:p>
    <w:p>
      <w:pPr>
        <w:spacing w:after="80"/>
      </w:pPr>
      <w:r>
        <w:rPr>
          <w:rFonts w:ascii="Calibri" w:hAnsi="Calibri"/>
          <w:b/>
          <w:color w:val="595959"/>
          <w:sz w:val="18"/>
        </w:rPr>
        <w:t xml:space="preserve">Severity: </w:t>
      </w:r>
      <w:r>
        <w:rPr>
          <w:rFonts w:ascii="Calibri" w:hAnsi="Calibri"/>
          <w:color w:val="E07B00"/>
          <w:sz w:val="18"/>
        </w:rPr>
        <w:t>High</w:t>
      </w:r>
      <w:r>
        <w:rPr>
          <w:rFonts w:ascii="Calibri" w:hAnsi="Calibri"/>
          <w:b/>
          <w:color w:val="595959"/>
          <w:sz w:val="18"/>
        </w:rPr>
        <w:t xml:space="preserve">   Likelihood: </w:t>
      </w:r>
      <w:r>
        <w:rPr>
          <w:rFonts w:ascii="Calibri" w:hAnsi="Calibri"/>
          <w:color w:val="E07B00"/>
          <w:sz w:val="18"/>
        </w:rPr>
        <w:t>High</w:t>
      </w:r>
      <w:r>
        <w:rPr>
          <w:rFonts w:ascii="Calibri" w:hAnsi="Calibri"/>
          <w:b/>
          <w:color w:val="595959"/>
          <w:sz w:val="18"/>
        </w:rPr>
        <w:t xml:space="preserve">   Blast radius: </w:t>
      </w:r>
      <w:r>
        <w:rPr>
          <w:rFonts w:ascii="Calibri" w:hAnsi="Calibri"/>
          <w:color w:val="E07B00"/>
          <w:sz w:val="18"/>
        </w:rPr>
        <w:t>Whole order pipeline</w:t>
      </w:r>
    </w:p>
    <w:p>
      <w:pPr>
        <w:spacing w:after="80"/>
      </w:pPr>
      <w:r>
        <w:rPr>
          <w:rFonts w:ascii="Calibri" w:hAnsi="Calibri"/>
          <w:b/>
          <w:color w:val="1A1A2E"/>
          <w:sz w:val="21"/>
        </w:rPr>
        <w:t xml:space="preserve">What I found:  </w:t>
      </w:r>
      <w:r>
        <w:rPr>
          <w:rFonts w:ascii="Calibri" w:hAnsi="Calibri"/>
          <w:color w:val="1A1A2E"/>
          <w:sz w:val="21"/>
        </w:rPr>
        <w:t>The pipeline runs a schema check against its config on deploy to staging, but the production deploy path calls a different entrypoint that skips that check entirely. A value that staging would reject can reach production unvalidated.</w:t>
      </w:r>
    </w:p>
    <w:p>
      <w:pPr>
        <w:spacing w:after="80"/>
      </w:pPr>
      <w:r>
        <w:rPr>
          <w:rFonts w:ascii="Calibri" w:hAnsi="Calibri"/>
          <w:b/>
          <w:color w:val="1A1A2E"/>
          <w:sz w:val="21"/>
        </w:rPr>
        <w:t xml:space="preserve">Why it matters:  </w:t>
      </w:r>
      <w:r>
        <w:rPr>
          <w:rFonts w:ascii="Calibri" w:hAnsi="Calibri"/>
          <w:color w:val="1A1A2E"/>
          <w:sz w:val="21"/>
        </w:rPr>
        <w:t>This is the most likely source of the intermittent outages. A malformed value passes review, deploys clean, and only fails when a specific code path reads it in production — which is exactly why it never reproduced in staging.</w:t>
      </w:r>
    </w:p>
    <w:p>
      <w:pPr>
        <w:spacing w:after="80"/>
      </w:pPr>
      <w:r>
        <w:rPr>
          <w:rFonts w:ascii="Calibri" w:hAnsi="Calibri"/>
          <w:b/>
          <w:color w:val="1A1A2E"/>
          <w:sz w:val="21"/>
        </w:rPr>
        <w:t xml:space="preserve">Evidence:  </w:t>
      </w:r>
      <w:r>
        <w:rPr>
          <w:rFonts w:ascii="Calibri" w:hAnsi="Calibri"/>
          <w:color w:val="1A1A2E"/>
          <w:sz w:val="21"/>
        </w:rPr>
        <w:t>Traced the two deploy paths in the CI config; the staging job invokes validate-config, the production job does not. Reproduced by deploying a deliberately invalid timeout to the nominated staging mirror configured like production — it was accepted without error.</w:t>
      </w:r>
    </w:p>
    <w:p>
      <w:pPr>
        <w:spacing w:after="80"/>
      </w:pPr>
      <w:r>
        <w:rPr>
          <w:rFonts w:ascii="Calibri" w:hAnsi="Calibri"/>
          <w:b/>
          <w:color w:val="1A1A2E"/>
          <w:sz w:val="21"/>
        </w:rPr>
        <w:t xml:space="preserve">Recommended guardrail:  </w:t>
      </w:r>
      <w:r>
        <w:rPr>
          <w:rFonts w:ascii="Calibri" w:hAnsi="Calibri"/>
          <w:color w:val="1A1A2E"/>
          <w:sz w:val="21"/>
        </w:rPr>
        <w:t>Move validation out of the per-environment jobs and into a single required stage that every deploy path depends on, so no environment can be deployed without it. Specification and an example CI stage are in the handover pack.</w:t>
      </w:r>
    </w:p>
    <w:p>
      <w:pPr>
        <w:spacing w:after="40" w:before="200"/>
      </w:pPr>
      <w:r>
        <w:rPr>
          <w:rFonts w:ascii="Calibri" w:hAnsi="Calibri"/>
          <w:b/>
          <w:i w:val="0"/>
          <w:color w:val="1A1A2E"/>
          <w:sz w:val="26"/>
        </w:rPr>
        <w:t>F-02 · CI validation stage silently skipped since September</w:t>
      </w:r>
    </w:p>
    <w:p>
      <w:pPr>
        <w:spacing w:after="80"/>
      </w:pPr>
      <w:r>
        <w:rPr>
          <w:rFonts w:ascii="Calibri" w:hAnsi="Calibri"/>
          <w:b/>
          <w:color w:val="595959"/>
          <w:sz w:val="18"/>
        </w:rPr>
        <w:t xml:space="preserve">Severity: </w:t>
      </w:r>
      <w:r>
        <w:rPr>
          <w:rFonts w:ascii="Calibri" w:hAnsi="Calibri"/>
          <w:color w:val="E07B00"/>
          <w:sz w:val="18"/>
        </w:rPr>
        <w:t>High</w:t>
      </w:r>
      <w:r>
        <w:rPr>
          <w:rFonts w:ascii="Calibri" w:hAnsi="Calibri"/>
          <w:b/>
          <w:color w:val="595959"/>
          <w:sz w:val="18"/>
        </w:rPr>
        <w:t xml:space="preserve">   Likelihood: </w:t>
      </w:r>
      <w:r>
        <w:rPr>
          <w:rFonts w:ascii="Calibri" w:hAnsi="Calibri"/>
          <w:color w:val="E07B00"/>
          <w:sz w:val="18"/>
        </w:rPr>
        <w:t>Certain</w:t>
      </w:r>
      <w:r>
        <w:rPr>
          <w:rFonts w:ascii="Calibri" w:hAnsi="Calibri"/>
          <w:b/>
          <w:color w:val="595959"/>
          <w:sz w:val="18"/>
        </w:rPr>
        <w:t xml:space="preserve">   Blast radius: </w:t>
      </w:r>
      <w:r>
        <w:rPr>
          <w:rFonts w:ascii="Calibri" w:hAnsi="Calibri"/>
          <w:color w:val="E07B00"/>
          <w:sz w:val="18"/>
        </w:rPr>
        <w:t>All deployments</w:t>
      </w:r>
    </w:p>
    <w:p>
      <w:pPr>
        <w:spacing w:after="80"/>
      </w:pPr>
      <w:r>
        <w:rPr>
          <w:rFonts w:ascii="Calibri" w:hAnsi="Calibri"/>
          <w:b/>
          <w:color w:val="1A1A2E"/>
          <w:sz w:val="21"/>
        </w:rPr>
        <w:t xml:space="preserve">What I found:  </w:t>
      </w:r>
      <w:r>
        <w:rPr>
          <w:rFonts w:ascii="Calibri" w:hAnsi="Calibri"/>
          <w:color w:val="1A1A2E"/>
          <w:sz w:val="21"/>
        </w:rPr>
        <w:t>A conditional on the validation job (only: changes) means it runs only when certain files change. A refactor in September moved those files, so the condition has matched nothing since — the job reports success by being skipped, not by passing.</w:t>
      </w:r>
    </w:p>
    <w:p>
      <w:pPr>
        <w:spacing w:after="80"/>
      </w:pPr>
      <w:r>
        <w:rPr>
          <w:rFonts w:ascii="Calibri" w:hAnsi="Calibri"/>
          <w:b/>
          <w:color w:val="1A1A2E"/>
          <w:sz w:val="21"/>
        </w:rPr>
        <w:t xml:space="preserve">Why it matters:  </w:t>
      </w:r>
      <w:r>
        <w:rPr>
          <w:rFonts w:ascii="Calibri" w:hAnsi="Calibri"/>
          <w:color w:val="1A1A2E"/>
          <w:sz w:val="21"/>
        </w:rPr>
        <w:t>For eleven months, deploys have shown a green validation stage that never actually ran. The safeguard everyone believed was protecting them was doing nothing, invisibly.</w:t>
      </w:r>
    </w:p>
    <w:p>
      <w:pPr>
        <w:spacing w:after="80"/>
      </w:pPr>
      <w:r>
        <w:rPr>
          <w:rFonts w:ascii="Calibri" w:hAnsi="Calibri"/>
          <w:b/>
          <w:color w:val="1A1A2E"/>
          <w:sz w:val="21"/>
        </w:rPr>
        <w:t xml:space="preserve">Evidence:  </w:t>
      </w:r>
      <w:r>
        <w:rPr>
          <w:rFonts w:ascii="Calibri" w:hAnsi="Calibri"/>
          <w:color w:val="1A1A2E"/>
          <w:sz w:val="21"/>
        </w:rPr>
        <w:t>Pipeline history shows the job status as 'skipped' on every run since 12 September; the job's log output is empty across that entire window.</w:t>
      </w:r>
    </w:p>
    <w:p>
      <w:pPr>
        <w:spacing w:after="80"/>
      </w:pPr>
      <w:r>
        <w:rPr>
          <w:rFonts w:ascii="Calibri" w:hAnsi="Calibri"/>
          <w:b/>
          <w:color w:val="1A1A2E"/>
          <w:sz w:val="21"/>
        </w:rPr>
        <w:t xml:space="preserve">Recommended guardrail:  </w:t>
      </w:r>
      <w:r>
        <w:rPr>
          <w:rFonts w:ascii="Calibri" w:hAnsi="Calibri"/>
          <w:color w:val="1A1A2E"/>
          <w:sz w:val="21"/>
        </w:rPr>
        <w:t>Make validation unconditional, and add a pipeline assertion that fails if a required stage is skipped rather than executed — so a skipped safeguard can never again read as a passing one.</w:t>
      </w:r>
    </w:p>
    <w:p>
      <w:pPr>
        <w:spacing w:after="40" w:before="200"/>
      </w:pPr>
      <w:r>
        <w:rPr>
          <w:rFonts w:ascii="Calibri" w:hAnsi="Calibri"/>
          <w:b/>
          <w:i w:val="0"/>
          <w:color w:val="1A1A2E"/>
          <w:sz w:val="26"/>
        </w:rPr>
        <w:t>F-03 · Two services disagree on the same timeout value</w:t>
      </w:r>
    </w:p>
    <w:p>
      <w:pPr>
        <w:spacing w:after="80"/>
      </w:pPr>
      <w:r>
        <w:rPr>
          <w:rFonts w:ascii="Calibri" w:hAnsi="Calibri"/>
          <w:b/>
          <w:color w:val="595959"/>
          <w:sz w:val="18"/>
        </w:rPr>
        <w:t xml:space="preserve">Severity: </w:t>
      </w:r>
      <w:r>
        <w:rPr>
          <w:rFonts w:ascii="Calibri" w:hAnsi="Calibri"/>
          <w:color w:val="1A1A2E"/>
          <w:sz w:val="18"/>
        </w:rPr>
        <w:t>Medium</w:t>
      </w:r>
      <w:r>
        <w:rPr>
          <w:rFonts w:ascii="Calibri" w:hAnsi="Calibri"/>
          <w:b/>
          <w:color w:val="595959"/>
          <w:sz w:val="18"/>
        </w:rPr>
        <w:t xml:space="preserve">   Likelihood: </w:t>
      </w:r>
      <w:r>
        <w:rPr>
          <w:rFonts w:ascii="Calibri" w:hAnsi="Calibri"/>
          <w:color w:val="1A1A2E"/>
          <w:sz w:val="18"/>
        </w:rPr>
        <w:t>Medium</w:t>
      </w:r>
      <w:r>
        <w:rPr>
          <w:rFonts w:ascii="Calibri" w:hAnsi="Calibri"/>
          <w:b/>
          <w:color w:val="595959"/>
          <w:sz w:val="18"/>
        </w:rPr>
        <w:t xml:space="preserve">   Blast radius: </w:t>
      </w:r>
      <w:r>
        <w:rPr>
          <w:rFonts w:ascii="Calibri" w:hAnsi="Calibri"/>
          <w:color w:val="1A1A2E"/>
          <w:sz w:val="18"/>
        </w:rPr>
        <w:t>Checkout + fulfilment</w:t>
      </w:r>
    </w:p>
    <w:p>
      <w:pPr>
        <w:spacing w:after="80"/>
      </w:pPr>
      <w:r>
        <w:rPr>
          <w:rFonts w:ascii="Calibri" w:hAnsi="Calibri"/>
          <w:b/>
          <w:color w:val="1A1A2E"/>
          <w:sz w:val="21"/>
        </w:rPr>
        <w:t xml:space="preserve">What I found:  </w:t>
      </w:r>
      <w:r>
        <w:rPr>
          <w:rFonts w:ascii="Calibri" w:hAnsi="Calibri"/>
          <w:color w:val="1A1A2E"/>
          <w:sz w:val="21"/>
        </w:rPr>
        <w:t>The checkout service and the fulfilment worker each define their own request timeout, and the two values have drifted apart. Under load, checkout gives up before fulfilment has replied.</w:t>
      </w:r>
    </w:p>
    <w:p>
      <w:pPr>
        <w:spacing w:after="80"/>
      </w:pPr>
      <w:r>
        <w:rPr>
          <w:rFonts w:ascii="Calibri" w:hAnsi="Calibri"/>
          <w:b/>
          <w:color w:val="1A1A2E"/>
          <w:sz w:val="21"/>
        </w:rPr>
        <w:t xml:space="preserve">Recommended guardrail:  </w:t>
      </w:r>
      <w:r>
        <w:rPr>
          <w:rFonts w:ascii="Calibri" w:hAnsi="Calibri"/>
          <w:color w:val="1A1A2E"/>
          <w:sz w:val="21"/>
        </w:rPr>
        <w:t>Promote the timeout to a single shared config source both services read, with a schema check that rejects a mismatch at build time. Full specification in the handover pack.</w:t>
      </w:r>
    </w:p>
    <w:p>
      <w:pPr>
        <w:spacing w:after="40" w:before="200"/>
      </w:pPr>
      <w:r>
        <w:rPr>
          <w:rFonts w:ascii="Calibri" w:hAnsi="Calibri"/>
          <w:b/>
          <w:i w:val="0"/>
          <w:color w:val="1A1A2E"/>
          <w:sz w:val="26"/>
        </w:rPr>
        <w:t>F-04 · Secrets loaded from environment with no schema check</w:t>
      </w:r>
    </w:p>
    <w:p>
      <w:pPr>
        <w:spacing w:after="80"/>
      </w:pPr>
      <w:r>
        <w:rPr>
          <w:rFonts w:ascii="Calibri" w:hAnsi="Calibri"/>
          <w:b/>
          <w:color w:val="595959"/>
          <w:sz w:val="18"/>
        </w:rPr>
        <w:t xml:space="preserve">Severity: </w:t>
      </w:r>
      <w:r>
        <w:rPr>
          <w:rFonts w:ascii="Calibri" w:hAnsi="Calibri"/>
          <w:color w:val="1A1A2E"/>
          <w:sz w:val="18"/>
        </w:rPr>
        <w:t>Medium</w:t>
      </w:r>
      <w:r>
        <w:rPr>
          <w:rFonts w:ascii="Calibri" w:hAnsi="Calibri"/>
          <w:b/>
          <w:color w:val="595959"/>
          <w:sz w:val="18"/>
        </w:rPr>
        <w:t xml:space="preserve">   Likelihood: </w:t>
      </w:r>
      <w:r>
        <w:rPr>
          <w:rFonts w:ascii="Calibri" w:hAnsi="Calibri"/>
          <w:color w:val="1A1A2E"/>
          <w:sz w:val="18"/>
        </w:rPr>
        <w:t>Medium</w:t>
      </w:r>
      <w:r>
        <w:rPr>
          <w:rFonts w:ascii="Calibri" w:hAnsi="Calibri"/>
          <w:b/>
          <w:color w:val="595959"/>
          <w:sz w:val="18"/>
        </w:rPr>
        <w:t xml:space="preserve">   Blast radius: </w:t>
      </w:r>
      <w:r>
        <w:rPr>
          <w:rFonts w:ascii="Calibri" w:hAnsi="Calibri"/>
          <w:color w:val="1A1A2E"/>
          <w:sz w:val="18"/>
        </w:rPr>
        <w:t>Auth boundary</w:t>
      </w:r>
    </w:p>
    <w:p>
      <w:pPr>
        <w:spacing w:after="80"/>
      </w:pPr>
      <w:r>
        <w:rPr>
          <w:rFonts w:ascii="Calibri" w:hAnsi="Calibri"/>
          <w:b/>
          <w:color w:val="1A1A2E"/>
          <w:sz w:val="21"/>
        </w:rPr>
        <w:t xml:space="preserve">What I found:  </w:t>
      </w:r>
      <w:r>
        <w:rPr>
          <w:rFonts w:ascii="Calibri" w:hAnsi="Calibri"/>
          <w:color w:val="1A1A2E"/>
          <w:sz w:val="21"/>
        </w:rPr>
        <w:t>Credentials are read straight from environment variables with no validation. A missing or empty secret produces a confusing downstream auth error rather than a clear, immediate failure.</w:t>
      </w:r>
    </w:p>
    <w:p>
      <w:pPr>
        <w:spacing w:after="80"/>
      </w:pPr>
      <w:r>
        <w:rPr>
          <w:rFonts w:ascii="Calibri" w:hAnsi="Calibri"/>
          <w:b/>
          <w:color w:val="1A1A2E"/>
          <w:sz w:val="21"/>
        </w:rPr>
        <w:t xml:space="preserve">Recommended guardrail:  </w:t>
      </w:r>
      <w:r>
        <w:rPr>
          <w:rFonts w:ascii="Calibri" w:hAnsi="Calibri"/>
          <w:color w:val="1A1A2E"/>
          <w:sz w:val="21"/>
        </w:rPr>
        <w:t>Validate the presence and shape of every required secret at startup, and fail fast with a named, human-readable error before the service accepts traffic.</w:t>
      </w:r>
    </w:p>
    <w:p>
      <w:pPr>
        <w:spacing w:after="120" w:before="160"/>
      </w:pPr>
      <w:r>
        <w:rPr>
          <w:rFonts w:ascii="Calibri" w:hAnsi="Calibri"/>
          <w:b w:val="0"/>
          <w:i/>
          <w:color w:val="595959"/>
          <w:sz w:val="19"/>
        </w:rPr>
        <w:t>Findings F-05 through F-07 follow the same structure in the full report — omitted here for length. Each pairs a plain-language explanation, traceable evidence, and an implementable guardrail.</w:t>
      </w:r>
    </w:p>
    <w:p>
      <w:pPr>
        <w:spacing w:after="80" w:before="240"/>
      </w:pPr>
      <w:r>
        <w:rPr>
          <w:rFonts w:ascii="Calibri" w:hAnsi="Calibri"/>
          <w:b/>
          <w:i w:val="0"/>
          <w:color w:val="1A1A2E"/>
          <w:sz w:val="30"/>
        </w:rPr>
        <w:t>4 · Remediation plan</w:t>
      </w:r>
    </w:p>
    <w:p>
      <w:pPr>
        <w:spacing w:after="160" w:before="40"/>
        <w:pBdr>
          <w:bottom w:val="single" w:sz="6" w:space="1" w:color="E07B00"/>
        </w:pBdr>
      </w:pPr>
    </w:p>
    <w:p>
      <w:pPr>
        <w:spacing w:after="120" w:before="0"/>
      </w:pPr>
      <w:r>
        <w:rPr>
          <w:rFonts w:ascii="Calibri" w:hAnsi="Calibri"/>
          <w:b w:val="0"/>
          <w:i w:val="0"/>
          <w:color w:val="1A1A2E"/>
          <w:sz w:val="21"/>
        </w:rPr>
        <w:t>Findings ranked into the order I'd fix them, so you can triage instead of drown. This is a prioritization, not a rewrite — most fixes are small and additive.</w:t>
      </w:r>
    </w:p>
    <w:p>
      <w:pPr>
        <w:pStyle w:val="ListBullet"/>
        <w:spacing w:after="60"/>
      </w:pPr>
      <w:r>
        <w:rPr>
          <w:rFonts w:ascii="Calibri" w:hAnsi="Calibri"/>
          <w:b/>
          <w:color w:val="1A1A2E"/>
          <w:sz w:val="21"/>
        </w:rPr>
        <w:t xml:space="preserve">First (this week): </w:t>
      </w:r>
      <w:r>
        <w:rPr>
          <w:rFonts w:ascii="Calibri" w:hAnsi="Calibri"/>
          <w:color w:val="1A1A2E"/>
          <w:sz w:val="21"/>
        </w:rPr>
        <w:t>close F-01 and F-02. Both sit on the outage path and both are low-effort, high-impact. Together they remove the two ways an unvalidated config currently reaches production.</w:t>
      </w:r>
    </w:p>
    <w:p>
      <w:pPr>
        <w:pStyle w:val="ListBullet"/>
        <w:spacing w:after="60"/>
      </w:pPr>
      <w:r>
        <w:rPr>
          <w:rFonts w:ascii="Calibri" w:hAnsi="Calibri"/>
          <w:b/>
          <w:color w:val="1A1A2E"/>
          <w:sz w:val="21"/>
        </w:rPr>
        <w:t xml:space="preserve">Next (this sprint): </w:t>
      </w:r>
      <w:r>
        <w:rPr>
          <w:rFonts w:ascii="Calibri" w:hAnsi="Calibri"/>
          <w:color w:val="1A1A2E"/>
          <w:sz w:val="21"/>
        </w:rPr>
        <w:t>F-03 and F-05, the two findings a customer could actually feel. F-04 alongside if auth work is already planned.</w:t>
      </w:r>
    </w:p>
    <w:p>
      <w:pPr>
        <w:pStyle w:val="ListBullet"/>
        <w:spacing w:after="60"/>
      </w:pPr>
      <w:r>
        <w:rPr>
          <w:rFonts w:ascii="Calibri" w:hAnsi="Calibri"/>
          <w:b/>
          <w:color w:val="1A1A2E"/>
          <w:sz w:val="21"/>
        </w:rPr>
        <w:t xml:space="preserve">Then (backlog): </w:t>
      </w:r>
      <w:r>
        <w:rPr>
          <w:rFonts w:ascii="Calibri" w:hAnsi="Calibri"/>
          <w:color w:val="1A1A2E"/>
          <w:sz w:val="21"/>
        </w:rPr>
        <w:t>F-06 and F-07 — real, but they cost you clarity and onboarding time rather than uptime.</w:t>
      </w:r>
    </w:p>
    <w:p>
      <w:pPr>
        <w:spacing w:after="80" w:before="240"/>
      </w:pPr>
      <w:r>
        <w:rPr>
          <w:rFonts w:ascii="Calibri" w:hAnsi="Calibri"/>
          <w:b/>
          <w:i w:val="0"/>
          <w:color w:val="1A1A2E"/>
          <w:sz w:val="30"/>
        </w:rPr>
        <w:t>5 · What lands with your team</w:t>
      </w:r>
    </w:p>
    <w:p>
      <w:pPr>
        <w:spacing w:after="160" w:before="40"/>
        <w:pBdr>
          <w:bottom w:val="single" w:sz="6" w:space="1" w:color="E07B00"/>
        </w:pBdr>
      </w:pPr>
    </w:p>
    <w:p>
      <w:pPr>
        <w:spacing w:after="120" w:before="0"/>
      </w:pPr>
      <w:r>
        <w:rPr>
          <w:rFonts w:ascii="Calibri" w:hAnsi="Calibri"/>
          <w:b w:val="0"/>
          <w:i w:val="0"/>
          <w:color w:val="1A1A2E"/>
          <w:sz w:val="21"/>
        </w:rPr>
        <w:t>Everything needed to implement the above and keep it running after the engagement ends:</w:t>
      </w:r>
    </w:p>
    <w:p>
      <w:pPr>
        <w:pStyle w:val="ListBullet"/>
        <w:spacing w:after="60"/>
      </w:pPr>
      <w:r>
        <w:rPr>
          <w:rFonts w:ascii="Calibri" w:hAnsi="Calibri"/>
          <w:b/>
          <w:color w:val="1A1A2E"/>
          <w:sz w:val="21"/>
        </w:rPr>
        <w:t xml:space="preserve">Findings report — </w:t>
      </w:r>
      <w:r>
        <w:rPr>
          <w:rFonts w:ascii="Calibri" w:hAnsi="Calibri"/>
          <w:color w:val="1A1A2E"/>
          <w:sz w:val="21"/>
        </w:rPr>
        <w:t>this report, with every finding, its evidence, and its guardrail.</w:t>
      </w:r>
    </w:p>
    <w:p>
      <w:pPr>
        <w:pStyle w:val="ListBullet"/>
        <w:spacing w:after="60"/>
      </w:pPr>
      <w:r>
        <w:rPr>
          <w:rFonts w:ascii="Calibri" w:hAnsi="Calibri"/>
          <w:b/>
          <w:color w:val="1A1A2E"/>
          <w:sz w:val="21"/>
        </w:rPr>
        <w:t xml:space="preserve">Guardrail specs — </w:t>
      </w:r>
      <w:r>
        <w:rPr>
          <w:rFonts w:ascii="Calibri" w:hAnsi="Calibri"/>
          <w:color w:val="1A1A2E"/>
          <w:sz w:val="21"/>
        </w:rPr>
        <w:t>the validation layers, CI stages, and config checks as ready-to-adapt specifications, not just prose.</w:t>
      </w:r>
    </w:p>
    <w:p>
      <w:pPr>
        <w:pStyle w:val="ListBullet"/>
        <w:spacing w:after="60"/>
      </w:pPr>
      <w:r>
        <w:rPr>
          <w:rFonts w:ascii="Calibri" w:hAnsi="Calibri"/>
          <w:b/>
          <w:color w:val="1A1A2E"/>
          <w:sz w:val="21"/>
        </w:rPr>
        <w:t xml:space="preserve">Reproduction steps — </w:t>
      </w:r>
      <w:r>
        <w:rPr>
          <w:rFonts w:ascii="Calibri" w:hAnsi="Calibri"/>
          <w:color w:val="1A1A2E"/>
          <w:sz w:val="21"/>
        </w:rPr>
        <w:t>the deliberate misconfigurations I used, so your team can re-run the negative tests themselves and confirm the system still fails loudly.</w:t>
      </w:r>
    </w:p>
    <w:p>
      <w:pPr>
        <w:pStyle w:val="ListBullet"/>
        <w:spacing w:after="60"/>
      </w:pPr>
      <w:r>
        <w:rPr>
          <w:rFonts w:ascii="Calibri" w:hAnsi="Calibri"/>
          <w:b/>
          <w:color w:val="1A1A2E"/>
          <w:sz w:val="21"/>
        </w:rPr>
        <w:t xml:space="preserve">Handover notes — </w:t>
      </w:r>
      <w:r>
        <w:rPr>
          <w:rFonts w:ascii="Calibri" w:hAnsi="Calibri"/>
          <w:color w:val="1A1A2E"/>
          <w:sz w:val="21"/>
        </w:rPr>
        <w:t>a short runbook so a new engineer can understand and extend the checks without me.</w:t>
      </w:r>
    </w:p>
    <w:p>
      <w:pPr>
        <w:spacing w:after="120" w:before="200"/>
      </w:pPr>
    </w:p>
    <w:p>
      <w:pPr>
        <w:spacing w:after="160" w:before="40"/>
        <w:pBdr>
          <w:bottom w:val="single" w:sz="6" w:space="1" w:color="E07B00"/>
        </w:pBdr>
      </w:pPr>
    </w:p>
    <w:p>
      <w:pPr>
        <w:spacing w:after="40"/>
        <w:jc w:val="center"/>
      </w:pPr>
      <w:r>
        <w:rPr>
          <w:rFonts w:ascii="Calibri" w:hAnsi="Calibri"/>
          <w:b/>
          <w:color w:val="E07B00"/>
          <w:sz w:val="20"/>
        </w:rPr>
        <w:t>Start a conversation: dobybaxter127.gitlab.io/contact</w:t>
      </w:r>
    </w:p>
    <w:p>
      <w:pPr>
        <w:spacing w:after="0"/>
        <w:jc w:val="center"/>
      </w:pPr>
      <w:r>
        <w:rPr>
          <w:rFonts w:ascii="Calibri" w:hAnsi="Calibri"/>
          <w:color w:val="595959"/>
          <w:sz w:val="18"/>
        </w:rPr>
        <w:t>Doby Baxter Computing · reliability engineering, AI-workflow tooling, and forensic reconstruction.</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1A2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