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E07B00"/>
          <w:sz w:val="18"/>
          <w:szCs w:val="18"/>
        </w:rPr>
        <w:t xml:space="preserve">DOBY BAXTER COMPUTING</w:t>
      </w:r>
    </w:p>
    <w:p>
      <w:pPr>
        <w:spacing w:after="120"/>
      </w:pPr>
      <w:r>
        <w:rPr>
          <w:rFonts w:ascii="Calibri" w:cs="Calibri" w:eastAsia="Calibri" w:hAnsi="Calibri"/>
          <w:b/>
          <w:bCs/>
          <w:color w:val="1A1A2E"/>
          <w:sz w:val="40"/>
          <w:szCs w:val="40"/>
        </w:rPr>
        <w:t xml:space="preserve">Odoo Reliability Review · Sample Findings Report</w:t>
      </w:r>
    </w:p>
    <w:p>
      <w:pPr>
        <w:spacing w:after="200"/>
      </w:pPr>
      <w:r>
        <w:rPr>
          <w:rFonts w:ascii="Calibri" w:cs="Calibri" w:eastAsia="Calibri" w:hAnsi="Calibri"/>
          <w:i/>
          <w:iCs/>
          <w:color w:val="595959"/>
          <w:sz w:val="22"/>
          <w:szCs w:val="22"/>
        </w:rPr>
        <w:t xml:space="preserve">Software should never fail a person in silence.</w:t>
      </w:r>
    </w:p>
    <w:p>
      <w:pPr>
        <w:shd w:fill="FFF4E6" w:color="auto" w:val="clear"/>
        <w:spacing w:after="280" w:line="276"/>
      </w:pPr>
      <w:r>
        <w:rPr>
          <w:rFonts w:ascii="Calibri" w:cs="Calibri" w:eastAsia="Calibri" w:hAnsi="Calibri"/>
          <w:b/>
          <w:bCs/>
          <w:color w:val="E07B00"/>
          <w:sz w:val="21"/>
          <w:szCs w:val="21"/>
        </w:rPr>
        <w:t xml:space="preserve">This is an illustrative example, not a real client report. </w:t>
      </w:r>
      <w:r>
        <w:rPr>
          <w:rFonts w:ascii="Calibri" w:cs="Calibri" w:eastAsia="Calibri" w:hAnsi="Calibri"/>
          <w:color w:val="1A1A2E"/>
          <w:sz w:val="21"/>
          <w:szCs w:val="21"/>
        </w:rPr>
        <w:t xml:space="preserve">Bramblewick Garden Supply and its module are fictional, written for this sample. The scan results are real: every Nexa finding quoted here is what Nexa reported when it was run on that module. No real client code or data appears anywhere in this document.</w:t>
      </w:r>
    </w:p>
    <w:tbl>
      <w:tblPr>
        <w:tblW w:type="dxa" w:w="9648"/>
        <w:tblBorders>
          <w:top w:val="none" w:color="FFFFFF" w:sz="0"/>
          <w:left w:val="none" w:color="FFFFFF" w:sz="0"/>
          <w:bottom w:val="none" w:color="FFFFFF" w:sz="0"/>
          <w:right w:val="none" w:color="FFFFFF" w:sz="0"/>
          <w:insideH w:val="none" w:color="FFFFFF" w:sz="0"/>
          <w:insideV w:val="none" w:color="FFFFFF" w:sz="0"/>
        </w:tblBorders>
      </w:tblPr>
      <w:tblGrid>
        <w:gridCol w:w="3000"/>
        <w:gridCol w:w="6648"/>
      </w:tblGrid>
      <w:tr>
        <w:tc>
          <w:tcPr>
            <w:tcW w:type="dxa" w:w="3000"/>
            <w:shd w:fill="F3F4F8" w:color="auto" w:val="clear"/>
            <w:tcMar>
              <w:top w:type="dxa" w:w="80"/>
              <w:left w:type="dxa" w:w="120"/>
              <w:bottom w:type="dxa" w:w="80"/>
              <w:right w:type="dxa" w:w="120"/>
            </w:tcMar>
          </w:tcPr>
          <w:p>
            <w:r>
              <w:rPr>
                <w:rFonts w:ascii="Calibri" w:cs="Calibri" w:eastAsia="Calibri" w:hAnsi="Calibri"/>
                <w:b/>
                <w:bCs/>
                <w:color w:val="1A1A2E"/>
                <w:sz w:val="19"/>
                <w:szCs w:val="19"/>
              </w:rPr>
              <w:t xml:space="preserve">Client (fictional)</w:t>
            </w:r>
          </w:p>
        </w:tc>
        <w:tc>
          <w:tcPr>
            <w:tcW w:type="dxa" w:w="6648"/>
            <w:tcMar>
              <w:top w:type="dxa" w:w="80"/>
              <w:left w:type="dxa" w:w="120"/>
              <w:bottom w:type="dxa" w:w="80"/>
              <w:right w:type="dxa" w:w="120"/>
            </w:tcMar>
          </w:tcPr>
          <w:p>
            <w:r>
              <w:rPr>
                <w:rFonts w:ascii="Calibri" w:cs="Calibri" w:eastAsia="Calibri" w:hAnsi="Calibri"/>
                <w:color w:val="1A1A2E"/>
                <w:sz w:val="19"/>
                <w:szCs w:val="19"/>
              </w:rPr>
              <w:t xml:space="preserve">Bramblewick Garden Supply: a garden center and a trade counter for landscapers, run as two companies in one Odoo 19 database</w:t>
            </w:r>
          </w:p>
        </w:tc>
      </w:tr>
      <w:tr>
        <w:tc>
          <w:tcPr>
            <w:tcW w:type="dxa" w:w="3000"/>
            <w:shd w:fill="F3F4F8" w:color="auto" w:val="clear"/>
            <w:tcMar>
              <w:top w:type="dxa" w:w="80"/>
              <w:left w:type="dxa" w:w="120"/>
              <w:bottom w:type="dxa" w:w="80"/>
              <w:right w:type="dxa" w:w="120"/>
            </w:tcMar>
          </w:tcPr>
          <w:p>
            <w:r>
              <w:rPr>
                <w:rFonts w:ascii="Calibri" w:cs="Calibri" w:eastAsia="Calibri" w:hAnsi="Calibri"/>
                <w:b/>
                <w:bCs/>
                <w:color w:val="1A1A2E"/>
                <w:sz w:val="19"/>
                <w:szCs w:val="19"/>
              </w:rPr>
              <w:t xml:space="preserve">Tier</w:t>
            </w:r>
          </w:p>
        </w:tc>
        <w:tc>
          <w:tcPr>
            <w:tcW w:type="dxa" w:w="6648"/>
            <w:tcMar>
              <w:top w:type="dxa" w:w="80"/>
              <w:left w:type="dxa" w:w="120"/>
              <w:bottom w:type="dxa" w:w="80"/>
              <w:right w:type="dxa" w:w="120"/>
            </w:tcMar>
          </w:tcPr>
          <w:p>
            <w:r>
              <w:rPr>
                <w:rFonts w:ascii="Calibri" w:cs="Calibri" w:eastAsia="Calibri" w:hAnsi="Calibri"/>
                <w:color w:val="1A1A2E"/>
                <w:sz w:val="19"/>
                <w:szCs w:val="19"/>
              </w:rPr>
              <w:t xml:space="preserve">Starter Reliability Review (read-only) · £200 fixed</w:t>
            </w:r>
          </w:p>
        </w:tc>
      </w:tr>
      <w:tr>
        <w:tc>
          <w:tcPr>
            <w:tcW w:type="dxa" w:w="3000"/>
            <w:shd w:fill="F3F4F8" w:color="auto" w:val="clear"/>
            <w:tcMar>
              <w:top w:type="dxa" w:w="80"/>
              <w:left w:type="dxa" w:w="120"/>
              <w:bottom w:type="dxa" w:w="80"/>
              <w:right w:type="dxa" w:w="120"/>
            </w:tcMar>
          </w:tcPr>
          <w:p>
            <w:r>
              <w:rPr>
                <w:rFonts w:ascii="Calibri" w:cs="Calibri" w:eastAsia="Calibri" w:hAnsi="Calibri"/>
                <w:b/>
                <w:bCs/>
                <w:color w:val="1A1A2E"/>
                <w:sz w:val="19"/>
                <w:szCs w:val="19"/>
              </w:rPr>
              <w:t xml:space="preserve">Slice reviewed</w:t>
            </w:r>
          </w:p>
        </w:tc>
        <w:tc>
          <w:tcPr>
            <w:tcW w:type="dxa" w:w="6648"/>
            <w:tcMar>
              <w:top w:type="dxa" w:w="80"/>
              <w:left w:type="dxa" w:w="120"/>
              <w:bottom w:type="dxa" w:w="80"/>
              <w:right w:type="dxa" w:w="120"/>
            </w:tcMar>
          </w:tcPr>
          <w:p>
            <w:r>
              <w:rPr>
                <w:rFonts w:ascii="Calibri" w:cs="Calibri" w:eastAsia="Calibri" w:hAnsi="Calibri"/>
                <w:color w:val="1A1A2E"/>
                <w:sz w:val="19"/>
                <w:szCs w:val="19"/>
              </w:rPr>
              <w:t xml:space="preserve">bramblewick_trade, the custom module behind trade accounts, credit limits and monthly statements (version 19.0.1.4.0)</w:t>
            </w:r>
          </w:p>
        </w:tc>
      </w:tr>
      <w:tr>
        <w:tc>
          <w:tcPr>
            <w:tcW w:type="dxa" w:w="3000"/>
            <w:shd w:fill="F3F4F8" w:color="auto" w:val="clear"/>
            <w:tcMar>
              <w:top w:type="dxa" w:w="80"/>
              <w:left w:type="dxa" w:w="120"/>
              <w:bottom w:type="dxa" w:w="80"/>
              <w:right w:type="dxa" w:w="120"/>
            </w:tcMar>
          </w:tcPr>
          <w:p>
            <w:r>
              <w:rPr>
                <w:rFonts w:ascii="Calibri" w:cs="Calibri" w:eastAsia="Calibri" w:hAnsi="Calibri"/>
                <w:b/>
                <w:bCs/>
                <w:color w:val="1A1A2E"/>
                <w:sz w:val="19"/>
                <w:szCs w:val="19"/>
              </w:rPr>
              <w:t xml:space="preserve">What I had</w:t>
            </w:r>
          </w:p>
        </w:tc>
        <w:tc>
          <w:tcPr>
            <w:tcW w:type="dxa" w:w="6648"/>
            <w:tcMar>
              <w:top w:type="dxa" w:w="80"/>
              <w:left w:type="dxa" w:w="120"/>
              <w:bottom w:type="dxa" w:w="80"/>
              <w:right w:type="dxa" w:w="120"/>
            </w:tcMar>
          </w:tcPr>
          <w:p>
            <w:r>
              <w:rPr>
                <w:rFonts w:ascii="Calibri" w:cs="Calibri" w:eastAsia="Calibri" w:hAnsi="Calibri"/>
                <w:color w:val="1A1A2E"/>
                <w:sz w:val="19"/>
                <w:szCs w:val="19"/>
              </w:rPr>
              <w:t xml:space="preserve">A copy of the module's source, sent as a zip file. No database access, no login, nothing run against the live system</w:t>
            </w:r>
          </w:p>
        </w:tc>
      </w:tr>
      <w:tr>
        <w:tc>
          <w:tcPr>
            <w:tcW w:type="dxa" w:w="3000"/>
            <w:shd w:fill="F3F4F8" w:color="auto" w:val="clear"/>
            <w:tcMar>
              <w:top w:type="dxa" w:w="80"/>
              <w:left w:type="dxa" w:w="120"/>
              <w:bottom w:type="dxa" w:w="80"/>
              <w:right w:type="dxa" w:w="120"/>
            </w:tcMar>
          </w:tcPr>
          <w:p>
            <w:r>
              <w:rPr>
                <w:rFonts w:ascii="Calibri" w:cs="Calibri" w:eastAsia="Calibri" w:hAnsi="Calibri"/>
                <w:b/>
                <w:bCs/>
                <w:color w:val="1A1A2E"/>
                <w:sz w:val="19"/>
                <w:szCs w:val="19"/>
              </w:rPr>
              <w:t xml:space="preserve">Report status</w:t>
            </w:r>
          </w:p>
        </w:tc>
        <w:tc>
          <w:tcPr>
            <w:tcW w:type="dxa" w:w="6648"/>
            <w:tcMar>
              <w:top w:type="dxa" w:w="80"/>
              <w:left w:type="dxa" w:w="120"/>
              <w:bottom w:type="dxa" w:w="80"/>
              <w:right w:type="dxa" w:w="120"/>
            </w:tcMar>
          </w:tcPr>
          <w:p>
            <w:r>
              <w:rPr>
                <w:rFonts w:ascii="Calibri" w:cs="Calibri" w:eastAsia="Calibri" w:hAnsi="Calibri"/>
                <w:color w:val="1A1A2E"/>
                <w:sz w:val="19"/>
                <w:szCs w:val="19"/>
              </w:rPr>
              <w:t xml:space="preserve">Illustrative sample · v1.1</w:t>
            </w:r>
          </w:p>
        </w:tc>
      </w:tr>
    </w:tbl>
    <w:p>
      <w:pPr>
        <w:pBdr>
          <w:bottom w:val="single" w:color="E07B00" w:sz="8" w:space="8"/>
        </w:pBdr>
        <w:spacing w:after="200" w:before="360"/>
      </w:pPr>
      <w:r>
        <w:rPr>
          <w:rFonts w:ascii="Calibri" w:cs="Calibri" w:eastAsia="Calibri" w:hAnsi="Calibri"/>
          <w:b/>
          <w:bCs/>
          <w:color w:val="1A1A2E"/>
          <w:sz w:val="30"/>
          <w:szCs w:val="30"/>
        </w:rPr>
        <w:t xml:space="preserve">1 · Summary</w:t>
      </w:r>
    </w:p>
    <w:p>
      <w:pPr>
        <w:spacing w:after="140" w:line="276"/>
      </w:pPr>
      <w:r>
        <w:rPr>
          <w:rFonts w:ascii="Calibri" w:cs="Calibri" w:eastAsia="Calibri" w:hAnsi="Calibri"/>
          <w:color w:val="1A1A2E"/>
          <w:sz w:val="21"/>
          <w:szCs w:val="21"/>
        </w:rPr>
        <w:t xml:space="preserve">Bramblewick asked for a first look because of four things that started around the Odoo 19 upgrade: duplicate trade accounts, landscapers receiving statements for invoices they had already paid, the trade discount going back to 10% after updates, and monthly statements that seem to stop in some months. Nobody on staff owns the custom module, and the freelancer who built it has moved on.</w:t>
      </w:r>
    </w:p>
    <w:p>
      <w:pPr>
        <w:spacing w:after="140" w:line="276"/>
      </w:pPr>
      <w:r>
        <w:rPr>
          <w:rFonts w:ascii="Calibri" w:cs="Calibri" w:eastAsia="Calibri" w:hAnsi="Calibri"/>
          <w:color w:val="1A1A2E"/>
          <w:sz w:val="21"/>
          <w:szCs w:val="21"/>
        </w:rPr>
        <w:t xml:space="preserve">All four have a cause in the module, and none of them produces an error. I found eight issues in total. Three are high severity and sit directly behind what you described: paid invoices that never leave the outstanding total (F-01), a uniqueness rule Odoo 19 stopped enforcing (F-02), and a statement job that every update switches off (F-03). The discount reset (F-04) is the same cause as F-03 and closes with the same change.</w:t>
      </w:r>
    </w:p>
    <w:p>
      <w:pPr>
        <w:spacing w:after="140" w:line="276"/>
      </w:pPr>
      <w:r>
        <w:rPr>
          <w:rFonts w:ascii="Calibri" w:cs="Calibri" w:eastAsia="Calibri" w:hAnsi="Calibri"/>
          <w:color w:val="1A1A2E"/>
          <w:sz w:val="21"/>
          <w:szCs w:val="21"/>
        </w:rPr>
        <w:t xml:space="preserve">Each finding comes with a guardrail your developer can apply, or that I can apply as a First Fix. Nothing in your Odoo system was touched: I read a copy of the module's code and ran nothing against the live database.</w:t>
      </w:r>
    </w:p>
    <w:p>
      <w:pPr>
        <w:keepNext/>
        <w:spacing w:after="120" w:before="200"/>
      </w:pPr>
      <w:r>
        <w:rPr>
          <w:rFonts w:ascii="Calibri" w:cs="Calibri" w:eastAsia="Calibri" w:hAnsi="Calibri"/>
          <w:b/>
          <w:bCs/>
          <w:color w:val="1A1A2E"/>
          <w:sz w:val="24"/>
          <w:szCs w:val="24"/>
        </w:rPr>
        <w:t xml:space="preserve">Findings at a glance</w:t>
      </w:r>
    </w:p>
    <w:tbl>
      <w:tblPr>
        <w:tblW w:type="dxa" w:w="9648"/>
        <w:tblBorders>
          <w:top w:val="single" w:color="BFBFBF" w:sz="4"/>
          <w:left w:val="single" w:color="BFBFBF" w:sz="4"/>
          <w:bottom w:val="single" w:color="BFBFBF" w:sz="4"/>
          <w:right w:val="single" w:color="BFBFBF" w:sz="4"/>
          <w:insideH w:val="single" w:color="BFBFBF" w:sz="4"/>
          <w:insideV w:val="single" w:color="BFBFBF" w:sz="4"/>
        </w:tblBorders>
      </w:tblPr>
      <w:tblGrid>
        <w:gridCol w:w="900"/>
        <w:gridCol w:w="4148"/>
        <w:gridCol w:w="1400"/>
        <w:gridCol w:w="3200"/>
      </w:tblGrid>
      <w:tr>
        <w:trPr>
          <w:tblHeader/>
        </w:trPr>
        <w:tc>
          <w:tcPr>
            <w:tcW w:type="dxa" w:w="900"/>
            <w:shd w:fill="1A1A2E" w:color="auto" w:val="clear"/>
            <w:tcMar>
              <w:top w:type="dxa" w:w="80"/>
              <w:left w:type="dxa" w:w="120"/>
              <w:bottom w:type="dxa" w:w="80"/>
              <w:right w:type="dxa" w:w="120"/>
            </w:tcMar>
          </w:tcPr>
          <w:p>
            <w:r>
              <w:rPr>
                <w:rFonts w:ascii="Calibri" w:cs="Calibri" w:eastAsia="Calibri" w:hAnsi="Calibri"/>
                <w:b/>
                <w:bCs/>
                <w:color w:val="FFFFFF"/>
                <w:sz w:val="19"/>
                <w:szCs w:val="19"/>
              </w:rPr>
              <w:t xml:space="preserve">ID</w:t>
            </w:r>
          </w:p>
        </w:tc>
        <w:tc>
          <w:tcPr>
            <w:tcW w:type="dxa" w:w="4148"/>
            <w:shd w:fill="1A1A2E" w:color="auto" w:val="clear"/>
            <w:tcMar>
              <w:top w:type="dxa" w:w="80"/>
              <w:left w:type="dxa" w:w="120"/>
              <w:bottom w:type="dxa" w:w="80"/>
              <w:right w:type="dxa" w:w="120"/>
            </w:tcMar>
          </w:tcPr>
          <w:p>
            <w:r>
              <w:rPr>
                <w:rFonts w:ascii="Calibri" w:cs="Calibri" w:eastAsia="Calibri" w:hAnsi="Calibri"/>
                <w:b/>
                <w:bCs/>
                <w:color w:val="FFFFFF"/>
                <w:sz w:val="19"/>
                <w:szCs w:val="19"/>
              </w:rPr>
              <w:t xml:space="preserve">Finding</w:t>
            </w:r>
          </w:p>
        </w:tc>
        <w:tc>
          <w:tcPr>
            <w:tcW w:type="dxa" w:w="1400"/>
            <w:shd w:fill="1A1A2E" w:color="auto" w:val="clear"/>
            <w:tcMar>
              <w:top w:type="dxa" w:w="80"/>
              <w:left w:type="dxa" w:w="120"/>
              <w:bottom w:type="dxa" w:w="80"/>
              <w:right w:type="dxa" w:w="120"/>
            </w:tcMar>
          </w:tcPr>
          <w:p>
            <w:r>
              <w:rPr>
                <w:rFonts w:ascii="Calibri" w:cs="Calibri" w:eastAsia="Calibri" w:hAnsi="Calibri"/>
                <w:b/>
                <w:bCs/>
                <w:color w:val="FFFFFF"/>
                <w:sz w:val="19"/>
                <w:szCs w:val="19"/>
              </w:rPr>
              <w:t xml:space="preserve">Severity</w:t>
            </w:r>
          </w:p>
        </w:tc>
        <w:tc>
          <w:tcPr>
            <w:tcW w:type="dxa" w:w="3200"/>
            <w:shd w:fill="1A1A2E" w:color="auto" w:val="clear"/>
            <w:tcMar>
              <w:top w:type="dxa" w:w="80"/>
              <w:left w:type="dxa" w:w="120"/>
              <w:bottom w:type="dxa" w:w="80"/>
              <w:right w:type="dxa" w:w="120"/>
            </w:tcMar>
          </w:tcPr>
          <w:p>
            <w:r>
              <w:rPr>
                <w:rFonts w:ascii="Calibri" w:cs="Calibri" w:eastAsia="Calibri" w:hAnsi="Calibri"/>
                <w:b/>
                <w:bCs/>
                <w:color w:val="FFFFFF"/>
                <w:sz w:val="19"/>
                <w:szCs w:val="19"/>
              </w:rPr>
              <w:t xml:space="preserve">Where you would notice it</w:t>
            </w:r>
          </w:p>
        </w:tc>
      </w:tr>
      <w:tr>
        <w:trPr>
          <w:cantSplit/>
        </w:trPr>
        <w:tc>
          <w:tcPr>
            <w:tcW w:type="dxa" w:w="900"/>
            <w:tcMar>
              <w:top w:type="dxa" w:w="80"/>
              <w:left w:type="dxa" w:w="120"/>
              <w:bottom w:type="dxa" w:w="80"/>
              <w:right w:type="dxa" w:w="120"/>
            </w:tcMar>
          </w:tcPr>
          <w:p>
            <w:r>
              <w:rPr>
                <w:rFonts w:ascii="Calibri" w:cs="Calibri" w:eastAsia="Calibri" w:hAnsi="Calibri"/>
                <w:color w:val="1A1A2E"/>
                <w:sz w:val="19"/>
                <w:szCs w:val="19"/>
              </w:rPr>
              <w:t xml:space="preserve">F-01</w:t>
            </w:r>
          </w:p>
        </w:tc>
        <w:tc>
          <w:tcPr>
            <w:tcW w:type="dxa" w:w="4148"/>
            <w:tcMar>
              <w:top w:type="dxa" w:w="80"/>
              <w:left w:type="dxa" w:w="120"/>
              <w:bottom w:type="dxa" w:w="80"/>
              <w:right w:type="dxa" w:w="120"/>
            </w:tcMar>
          </w:tcPr>
          <w:p>
            <w:r>
              <w:rPr>
                <w:rFonts w:ascii="Calibri" w:cs="Calibri" w:eastAsia="Calibri" w:hAnsi="Calibri"/>
                <w:color w:val="1A1A2E"/>
                <w:sz w:val="19"/>
                <w:szCs w:val="19"/>
              </w:rPr>
              <w:t xml:space="preserve">Paid invoices stay on statements</w:t>
            </w:r>
          </w:p>
        </w:tc>
        <w:tc>
          <w:tcPr>
            <w:tcW w:type="dxa" w:w="1400"/>
            <w:tcMar>
              <w:top w:type="dxa" w:w="80"/>
              <w:left w:type="dxa" w:w="120"/>
              <w:bottom w:type="dxa" w:w="80"/>
              <w:right w:type="dxa" w:w="120"/>
            </w:tcMar>
          </w:tcPr>
          <w:p>
            <w:r>
              <w:rPr>
                <w:rFonts w:ascii="Calibri" w:cs="Calibri" w:eastAsia="Calibri" w:hAnsi="Calibri"/>
                <w:b/>
                <w:bCs/>
                <w:color w:val="E07B00"/>
                <w:sz w:val="19"/>
                <w:szCs w:val="19"/>
              </w:rPr>
              <w:t xml:space="preserve">High</w:t>
            </w:r>
          </w:p>
        </w:tc>
        <w:tc>
          <w:tcPr>
            <w:tcW w:type="dxa" w:w="3200"/>
            <w:tcMar>
              <w:top w:type="dxa" w:w="80"/>
              <w:left w:type="dxa" w:w="120"/>
              <w:bottom w:type="dxa" w:w="80"/>
              <w:right w:type="dxa" w:w="120"/>
            </w:tcMar>
          </w:tcPr>
          <w:p>
            <w:r>
              <w:rPr>
                <w:rFonts w:ascii="Calibri" w:cs="Calibri" w:eastAsia="Calibri" w:hAnsi="Calibri"/>
                <w:color w:val="1A1A2E"/>
                <w:sz w:val="19"/>
                <w:szCs w:val="19"/>
              </w:rPr>
              <w:t xml:space="preserve">Statements, overdue list</w:t>
            </w:r>
          </w:p>
        </w:tc>
      </w:tr>
      <w:tr>
        <w:trPr>
          <w:cantSplit/>
        </w:trPr>
        <w:tc>
          <w:tcPr>
            <w:tcW w:type="dxa" w:w="900"/>
            <w:tcMar>
              <w:top w:type="dxa" w:w="80"/>
              <w:left w:type="dxa" w:w="120"/>
              <w:bottom w:type="dxa" w:w="80"/>
              <w:right w:type="dxa" w:w="120"/>
            </w:tcMar>
          </w:tcPr>
          <w:p>
            <w:r>
              <w:rPr>
                <w:rFonts w:ascii="Calibri" w:cs="Calibri" w:eastAsia="Calibri" w:hAnsi="Calibri"/>
                <w:color w:val="1A1A2E"/>
                <w:sz w:val="19"/>
                <w:szCs w:val="19"/>
              </w:rPr>
              <w:t xml:space="preserve">F-02</w:t>
            </w:r>
          </w:p>
        </w:tc>
        <w:tc>
          <w:tcPr>
            <w:tcW w:type="dxa" w:w="4148"/>
            <w:tcMar>
              <w:top w:type="dxa" w:w="80"/>
              <w:left w:type="dxa" w:w="120"/>
              <w:bottom w:type="dxa" w:w="80"/>
              <w:right w:type="dxa" w:w="120"/>
            </w:tcMar>
          </w:tcPr>
          <w:p>
            <w:r>
              <w:rPr>
                <w:rFonts w:ascii="Calibri" w:cs="Calibri" w:eastAsia="Calibri" w:hAnsi="Calibri"/>
                <w:color w:val="1A1A2E"/>
                <w:sz w:val="19"/>
                <w:szCs w:val="19"/>
              </w:rPr>
              <w:t xml:space="preserve">Account references no longer unique</w:t>
            </w:r>
          </w:p>
        </w:tc>
        <w:tc>
          <w:tcPr>
            <w:tcW w:type="dxa" w:w="1400"/>
            <w:tcMar>
              <w:top w:type="dxa" w:w="80"/>
              <w:left w:type="dxa" w:w="120"/>
              <w:bottom w:type="dxa" w:w="80"/>
              <w:right w:type="dxa" w:w="120"/>
            </w:tcMar>
          </w:tcPr>
          <w:p>
            <w:r>
              <w:rPr>
                <w:rFonts w:ascii="Calibri" w:cs="Calibri" w:eastAsia="Calibri" w:hAnsi="Calibri"/>
                <w:b/>
                <w:bCs/>
                <w:color w:val="E07B00"/>
                <w:sz w:val="19"/>
                <w:szCs w:val="19"/>
              </w:rPr>
              <w:t xml:space="preserve">High</w:t>
            </w:r>
          </w:p>
        </w:tc>
        <w:tc>
          <w:tcPr>
            <w:tcW w:type="dxa" w:w="3200"/>
            <w:tcMar>
              <w:top w:type="dxa" w:w="80"/>
              <w:left w:type="dxa" w:w="120"/>
              <w:bottom w:type="dxa" w:w="80"/>
              <w:right w:type="dxa" w:w="120"/>
            </w:tcMar>
          </w:tcPr>
          <w:p>
            <w:r>
              <w:rPr>
                <w:rFonts w:ascii="Calibri" w:cs="Calibri" w:eastAsia="Calibri" w:hAnsi="Calibri"/>
                <w:color w:val="1A1A2E"/>
                <w:sz w:val="19"/>
                <w:szCs w:val="19"/>
              </w:rPr>
              <w:t xml:space="preserve">Every trade account</w:t>
            </w:r>
          </w:p>
        </w:tc>
      </w:tr>
      <w:tr>
        <w:trPr>
          <w:cantSplit/>
        </w:trPr>
        <w:tc>
          <w:tcPr>
            <w:tcW w:type="dxa" w:w="900"/>
            <w:tcMar>
              <w:top w:type="dxa" w:w="80"/>
              <w:left w:type="dxa" w:w="120"/>
              <w:bottom w:type="dxa" w:w="80"/>
              <w:right w:type="dxa" w:w="120"/>
            </w:tcMar>
          </w:tcPr>
          <w:p>
            <w:r>
              <w:rPr>
                <w:rFonts w:ascii="Calibri" w:cs="Calibri" w:eastAsia="Calibri" w:hAnsi="Calibri"/>
                <w:color w:val="1A1A2E"/>
                <w:sz w:val="19"/>
                <w:szCs w:val="19"/>
              </w:rPr>
              <w:t xml:space="preserve">F-03</w:t>
            </w:r>
          </w:p>
        </w:tc>
        <w:tc>
          <w:tcPr>
            <w:tcW w:type="dxa" w:w="4148"/>
            <w:tcMar>
              <w:top w:type="dxa" w:w="80"/>
              <w:left w:type="dxa" w:w="120"/>
              <w:bottom w:type="dxa" w:w="80"/>
              <w:right w:type="dxa" w:w="120"/>
            </w:tcMar>
          </w:tcPr>
          <w:p>
            <w:r>
              <w:rPr>
                <w:rFonts w:ascii="Calibri" w:cs="Calibri" w:eastAsia="Calibri" w:hAnsi="Calibri"/>
                <w:color w:val="1A1A2E"/>
                <w:sz w:val="19"/>
                <w:szCs w:val="19"/>
              </w:rPr>
              <w:t xml:space="preserve">Statements switch off after updates</w:t>
            </w:r>
          </w:p>
        </w:tc>
        <w:tc>
          <w:tcPr>
            <w:tcW w:type="dxa" w:w="1400"/>
            <w:tcMar>
              <w:top w:type="dxa" w:w="80"/>
              <w:left w:type="dxa" w:w="120"/>
              <w:bottom w:type="dxa" w:w="80"/>
              <w:right w:type="dxa" w:w="120"/>
            </w:tcMar>
          </w:tcPr>
          <w:p>
            <w:r>
              <w:rPr>
                <w:rFonts w:ascii="Calibri" w:cs="Calibri" w:eastAsia="Calibri" w:hAnsi="Calibri"/>
                <w:b/>
                <w:bCs/>
                <w:color w:val="E07B00"/>
                <w:sz w:val="19"/>
                <w:szCs w:val="19"/>
              </w:rPr>
              <w:t xml:space="preserve">High</w:t>
            </w:r>
          </w:p>
        </w:tc>
        <w:tc>
          <w:tcPr>
            <w:tcW w:type="dxa" w:w="3200"/>
            <w:tcMar>
              <w:top w:type="dxa" w:w="80"/>
              <w:left w:type="dxa" w:w="120"/>
              <w:bottom w:type="dxa" w:w="80"/>
              <w:right w:type="dxa" w:w="120"/>
            </w:tcMar>
          </w:tcPr>
          <w:p>
            <w:r>
              <w:rPr>
                <w:rFonts w:ascii="Calibri" w:cs="Calibri" w:eastAsia="Calibri" w:hAnsi="Calibri"/>
                <w:color w:val="1A1A2E"/>
                <w:sz w:val="19"/>
                <w:szCs w:val="19"/>
              </w:rPr>
              <w:t xml:space="preserve">Monthly statements</w:t>
            </w:r>
          </w:p>
        </w:tc>
      </w:tr>
      <w:tr>
        <w:trPr>
          <w:cantSplit/>
        </w:trPr>
        <w:tc>
          <w:tcPr>
            <w:tcW w:type="dxa" w:w="900"/>
            <w:tcMar>
              <w:top w:type="dxa" w:w="80"/>
              <w:left w:type="dxa" w:w="120"/>
              <w:bottom w:type="dxa" w:w="80"/>
              <w:right w:type="dxa" w:w="120"/>
            </w:tcMar>
          </w:tcPr>
          <w:p>
            <w:r>
              <w:rPr>
                <w:rFonts w:ascii="Calibri" w:cs="Calibri" w:eastAsia="Calibri" w:hAnsi="Calibri"/>
                <w:color w:val="1A1A2E"/>
                <w:sz w:val="19"/>
                <w:szCs w:val="19"/>
              </w:rPr>
              <w:t xml:space="preserve">F-04</w:t>
            </w:r>
          </w:p>
        </w:tc>
        <w:tc>
          <w:tcPr>
            <w:tcW w:type="dxa" w:w="4148"/>
            <w:tcMar>
              <w:top w:type="dxa" w:w="80"/>
              <w:left w:type="dxa" w:w="120"/>
              <w:bottom w:type="dxa" w:w="80"/>
              <w:right w:type="dxa" w:w="120"/>
            </w:tcMar>
          </w:tcPr>
          <w:p>
            <w:r>
              <w:rPr>
                <w:rFonts w:ascii="Calibri" w:cs="Calibri" w:eastAsia="Calibri" w:hAnsi="Calibri"/>
                <w:color w:val="1A1A2E"/>
                <w:sz w:val="19"/>
                <w:szCs w:val="19"/>
              </w:rPr>
              <w:t xml:space="preserve">Discount resets to 10% on update</w:t>
            </w:r>
          </w:p>
        </w:tc>
        <w:tc>
          <w:tcPr>
            <w:tcW w:type="dxa" w:w="1400"/>
            <w:tcMar>
              <w:top w:type="dxa" w:w="80"/>
              <w:left w:type="dxa" w:w="120"/>
              <w:bottom w:type="dxa" w:w="80"/>
              <w:right w:type="dxa" w:w="120"/>
            </w:tcMar>
          </w:tcPr>
          <w:p>
            <w:r>
              <w:rPr>
                <w:rFonts w:ascii="Calibri" w:cs="Calibri" w:eastAsia="Calibri" w:hAnsi="Calibri"/>
                <w:b/>
                <w:bCs/>
                <w:color w:val="E07B00"/>
                <w:sz w:val="19"/>
                <w:szCs w:val="19"/>
              </w:rPr>
              <w:t xml:space="preserve">Medium</w:t>
            </w:r>
          </w:p>
        </w:tc>
        <w:tc>
          <w:tcPr>
            <w:tcW w:type="dxa" w:w="3200"/>
            <w:tcMar>
              <w:top w:type="dxa" w:w="80"/>
              <w:left w:type="dxa" w:w="120"/>
              <w:bottom w:type="dxa" w:w="80"/>
              <w:right w:type="dxa" w:w="120"/>
            </w:tcMar>
          </w:tcPr>
          <w:p>
            <w:r>
              <w:rPr>
                <w:rFonts w:ascii="Calibri" w:cs="Calibri" w:eastAsia="Calibri" w:hAnsi="Calibri"/>
                <w:color w:val="1A1A2E"/>
                <w:sz w:val="19"/>
                <w:szCs w:val="19"/>
              </w:rPr>
              <w:t xml:space="preserve">Trade pricing</w:t>
            </w:r>
          </w:p>
        </w:tc>
      </w:tr>
      <w:tr>
        <w:trPr>
          <w:cantSplit/>
        </w:trPr>
        <w:tc>
          <w:tcPr>
            <w:tcW w:type="dxa" w:w="900"/>
            <w:tcMar>
              <w:top w:type="dxa" w:w="80"/>
              <w:left w:type="dxa" w:w="120"/>
              <w:bottom w:type="dxa" w:w="80"/>
              <w:right w:type="dxa" w:w="120"/>
            </w:tcMar>
          </w:tcPr>
          <w:p>
            <w:r>
              <w:rPr>
                <w:rFonts w:ascii="Calibri" w:cs="Calibri" w:eastAsia="Calibri" w:hAnsi="Calibri"/>
                <w:color w:val="1A1A2E"/>
                <w:sz w:val="19"/>
                <w:szCs w:val="19"/>
              </w:rPr>
              <w:t xml:space="preserve">F-05</w:t>
            </w:r>
          </w:p>
        </w:tc>
        <w:tc>
          <w:tcPr>
            <w:tcW w:type="dxa" w:w="4148"/>
            <w:tcMar>
              <w:top w:type="dxa" w:w="80"/>
              <w:left w:type="dxa" w:w="120"/>
              <w:bottom w:type="dxa" w:w="80"/>
              <w:right w:type="dxa" w:w="120"/>
            </w:tcMar>
          </w:tcPr>
          <w:p>
            <w:r>
              <w:rPr>
                <w:rFonts w:ascii="Calibri" w:cs="Calibri" w:eastAsia="Calibri" w:hAnsi="Calibri"/>
                <w:color w:val="1A1A2E"/>
                <w:sz w:val="19"/>
                <w:szCs w:val="19"/>
              </w:rPr>
              <w:t xml:space="preserve">Some statements can go out twice</w:t>
            </w:r>
          </w:p>
        </w:tc>
        <w:tc>
          <w:tcPr>
            <w:tcW w:type="dxa" w:w="1400"/>
            <w:tcMar>
              <w:top w:type="dxa" w:w="80"/>
              <w:left w:type="dxa" w:w="120"/>
              <w:bottom w:type="dxa" w:w="80"/>
              <w:right w:type="dxa" w:w="120"/>
            </w:tcMar>
          </w:tcPr>
          <w:p>
            <w:r>
              <w:rPr>
                <w:rFonts w:ascii="Calibri" w:cs="Calibri" w:eastAsia="Calibri" w:hAnsi="Calibri"/>
                <w:b/>
                <w:bCs/>
                <w:color w:val="E07B00"/>
                <w:sz w:val="19"/>
                <w:szCs w:val="19"/>
              </w:rPr>
              <w:t xml:space="preserve">Medium</w:t>
            </w:r>
          </w:p>
        </w:tc>
        <w:tc>
          <w:tcPr>
            <w:tcW w:type="dxa" w:w="3200"/>
            <w:tcMar>
              <w:top w:type="dxa" w:w="80"/>
              <w:left w:type="dxa" w:w="120"/>
              <w:bottom w:type="dxa" w:w="80"/>
              <w:right w:type="dxa" w:w="120"/>
            </w:tcMar>
          </w:tcPr>
          <w:p>
            <w:r>
              <w:rPr>
                <w:rFonts w:ascii="Calibri" w:cs="Calibri" w:eastAsia="Calibri" w:hAnsi="Calibri"/>
                <w:color w:val="1A1A2E"/>
                <w:sz w:val="19"/>
                <w:szCs w:val="19"/>
              </w:rPr>
              <w:t xml:space="preserve">Customer-facing</w:t>
            </w:r>
          </w:p>
        </w:tc>
      </w:tr>
      <w:tr>
        <w:trPr>
          <w:cantSplit/>
        </w:trPr>
        <w:tc>
          <w:tcPr>
            <w:tcW w:type="dxa" w:w="900"/>
            <w:tcMar>
              <w:top w:type="dxa" w:w="80"/>
              <w:left w:type="dxa" w:w="120"/>
              <w:bottom w:type="dxa" w:w="80"/>
              <w:right w:type="dxa" w:w="120"/>
            </w:tcMar>
          </w:tcPr>
          <w:p>
            <w:r>
              <w:rPr>
                <w:rFonts w:ascii="Calibri" w:cs="Calibri" w:eastAsia="Calibri" w:hAnsi="Calibri"/>
                <w:color w:val="1A1A2E"/>
                <w:sz w:val="19"/>
                <w:szCs w:val="19"/>
              </w:rPr>
              <w:t xml:space="preserve">F-06</w:t>
            </w:r>
          </w:p>
        </w:tc>
        <w:tc>
          <w:tcPr>
            <w:tcW w:type="dxa" w:w="4148"/>
            <w:tcMar>
              <w:top w:type="dxa" w:w="80"/>
              <w:left w:type="dxa" w:w="120"/>
              <w:bottom w:type="dxa" w:w="80"/>
              <w:right w:type="dxa" w:w="120"/>
            </w:tcMar>
          </w:tcPr>
          <w:p>
            <w:r>
              <w:rPr>
                <w:rFonts w:ascii="Calibri" w:cs="Calibri" w:eastAsia="Calibri" w:hAnsi="Calibri"/>
                <w:color w:val="1A1A2E"/>
                <w:sz w:val="19"/>
                <w:szCs w:val="19"/>
              </w:rPr>
              <w:t xml:space="preserve">Overdue list ignores the company</w:t>
            </w:r>
          </w:p>
        </w:tc>
        <w:tc>
          <w:tcPr>
            <w:tcW w:type="dxa" w:w="1400"/>
            <w:tcMar>
              <w:top w:type="dxa" w:w="80"/>
              <w:left w:type="dxa" w:w="120"/>
              <w:bottom w:type="dxa" w:w="80"/>
              <w:right w:type="dxa" w:w="120"/>
            </w:tcMar>
          </w:tcPr>
          <w:p>
            <w:r>
              <w:rPr>
                <w:rFonts w:ascii="Calibri" w:cs="Calibri" w:eastAsia="Calibri" w:hAnsi="Calibri"/>
                <w:b/>
                <w:bCs/>
                <w:color w:val="E07B00"/>
                <w:sz w:val="19"/>
                <w:szCs w:val="19"/>
              </w:rPr>
              <w:t xml:space="preserve">Medium</w:t>
            </w:r>
          </w:p>
        </w:tc>
        <w:tc>
          <w:tcPr>
            <w:tcW w:type="dxa" w:w="3200"/>
            <w:tcMar>
              <w:top w:type="dxa" w:w="80"/>
              <w:left w:type="dxa" w:w="120"/>
              <w:bottom w:type="dxa" w:w="80"/>
              <w:right w:type="dxa" w:w="120"/>
            </w:tcMar>
          </w:tcPr>
          <w:p>
            <w:r>
              <w:rPr>
                <w:rFonts w:ascii="Calibri" w:cs="Calibri" w:eastAsia="Calibri" w:hAnsi="Calibri"/>
                <w:color w:val="1A1A2E"/>
                <w:sz w:val="19"/>
                <w:szCs w:val="19"/>
              </w:rPr>
              <w:t xml:space="preserve">Staff reports</w:t>
            </w:r>
          </w:p>
        </w:tc>
      </w:tr>
      <w:tr>
        <w:trPr>
          <w:cantSplit/>
        </w:trPr>
        <w:tc>
          <w:tcPr>
            <w:tcW w:type="dxa" w:w="900"/>
            <w:tcMar>
              <w:top w:type="dxa" w:w="80"/>
              <w:left w:type="dxa" w:w="120"/>
              <w:bottom w:type="dxa" w:w="80"/>
              <w:right w:type="dxa" w:w="120"/>
            </w:tcMar>
          </w:tcPr>
          <w:p>
            <w:r>
              <w:rPr>
                <w:rFonts w:ascii="Calibri" w:cs="Calibri" w:eastAsia="Calibri" w:hAnsi="Calibri"/>
                <w:color w:val="1A1A2E"/>
                <w:sz w:val="19"/>
                <w:szCs w:val="19"/>
              </w:rPr>
              <w:t xml:space="preserve">F-07</w:t>
            </w:r>
          </w:p>
        </w:tc>
        <w:tc>
          <w:tcPr>
            <w:tcW w:type="dxa" w:w="4148"/>
            <w:tcMar>
              <w:top w:type="dxa" w:w="80"/>
              <w:left w:type="dxa" w:w="120"/>
              <w:bottom w:type="dxa" w:w="80"/>
              <w:right w:type="dxa" w:w="120"/>
            </w:tcMar>
          </w:tcPr>
          <w:p>
            <w:r>
              <w:rPr>
                <w:rFonts w:ascii="Calibri" w:cs="Calibri" w:eastAsia="Calibri" w:hAnsi="Calibri"/>
                <w:color w:val="1A1A2E"/>
                <w:sz w:val="19"/>
                <w:szCs w:val="19"/>
              </w:rPr>
              <w:t xml:space="preserve">Negative credit limits via import</w:t>
            </w:r>
          </w:p>
        </w:tc>
        <w:tc>
          <w:tcPr>
            <w:tcW w:type="dxa" w:w="1400"/>
            <w:tcMar>
              <w:top w:type="dxa" w:w="80"/>
              <w:left w:type="dxa" w:w="120"/>
              <w:bottom w:type="dxa" w:w="80"/>
              <w:right w:type="dxa" w:w="120"/>
            </w:tcMar>
          </w:tcPr>
          <w:p>
            <w:r>
              <w:rPr>
                <w:rFonts w:ascii="Calibri" w:cs="Calibri" w:eastAsia="Calibri" w:hAnsi="Calibri"/>
                <w:color w:val="1A1A2E"/>
                <w:sz w:val="19"/>
                <w:szCs w:val="19"/>
              </w:rPr>
              <w:t xml:space="preserve">Low</w:t>
            </w:r>
          </w:p>
        </w:tc>
        <w:tc>
          <w:tcPr>
            <w:tcW w:type="dxa" w:w="3200"/>
            <w:tcMar>
              <w:top w:type="dxa" w:w="80"/>
              <w:left w:type="dxa" w:w="120"/>
              <w:bottom w:type="dxa" w:w="80"/>
              <w:right w:type="dxa" w:w="120"/>
            </w:tcMar>
          </w:tcPr>
          <w:p>
            <w:r>
              <w:rPr>
                <w:rFonts w:ascii="Calibri" w:cs="Calibri" w:eastAsia="Calibri" w:hAnsi="Calibri"/>
                <w:color w:val="1A1A2E"/>
                <w:sz w:val="19"/>
                <w:szCs w:val="19"/>
              </w:rPr>
              <w:t xml:space="preserve">Credit control</w:t>
            </w:r>
          </w:p>
        </w:tc>
      </w:tr>
      <w:tr>
        <w:trPr>
          <w:cantSplit/>
        </w:trPr>
        <w:tc>
          <w:tcPr>
            <w:tcW w:type="dxa" w:w="900"/>
            <w:tcMar>
              <w:top w:type="dxa" w:w="80"/>
              <w:left w:type="dxa" w:w="120"/>
              <w:bottom w:type="dxa" w:w="80"/>
              <w:right w:type="dxa" w:w="120"/>
            </w:tcMar>
          </w:tcPr>
          <w:p>
            <w:r>
              <w:rPr>
                <w:rFonts w:ascii="Calibri" w:cs="Calibri" w:eastAsia="Calibri" w:hAnsi="Calibri"/>
                <w:color w:val="1A1A2E"/>
                <w:sz w:val="19"/>
                <w:szCs w:val="19"/>
              </w:rPr>
              <w:t xml:space="preserve">F-08</w:t>
            </w:r>
          </w:p>
        </w:tc>
        <w:tc>
          <w:tcPr>
            <w:tcW w:type="dxa" w:w="4148"/>
            <w:tcMar>
              <w:top w:type="dxa" w:w="80"/>
              <w:left w:type="dxa" w:w="120"/>
              <w:bottom w:type="dxa" w:w="80"/>
              <w:right w:type="dxa" w:w="120"/>
            </w:tcMar>
          </w:tcPr>
          <w:p>
            <w:r>
              <w:rPr>
                <w:rFonts w:ascii="Calibri" w:cs="Calibri" w:eastAsia="Calibri" w:hAnsi="Calibri"/>
                <w:color w:val="1A1A2E"/>
                <w:sz w:val="19"/>
                <w:szCs w:val="19"/>
              </w:rPr>
              <w:t xml:space="preserve">"Settled" can miss by a fraction</w:t>
            </w:r>
          </w:p>
        </w:tc>
        <w:tc>
          <w:tcPr>
            <w:tcW w:type="dxa" w:w="1400"/>
            <w:tcMar>
              <w:top w:type="dxa" w:w="80"/>
              <w:left w:type="dxa" w:w="120"/>
              <w:bottom w:type="dxa" w:w="80"/>
              <w:right w:type="dxa" w:w="120"/>
            </w:tcMar>
          </w:tcPr>
          <w:p>
            <w:r>
              <w:rPr>
                <w:rFonts w:ascii="Calibri" w:cs="Calibri" w:eastAsia="Calibri" w:hAnsi="Calibri"/>
                <w:color w:val="1A1A2E"/>
                <w:sz w:val="19"/>
                <w:szCs w:val="19"/>
              </w:rPr>
              <w:t xml:space="preserve">Low</w:t>
            </w:r>
          </w:p>
        </w:tc>
        <w:tc>
          <w:tcPr>
            <w:tcW w:type="dxa" w:w="3200"/>
            <w:tcMar>
              <w:top w:type="dxa" w:w="80"/>
              <w:left w:type="dxa" w:w="120"/>
              <w:bottom w:type="dxa" w:w="80"/>
              <w:right w:type="dxa" w:w="120"/>
            </w:tcMar>
          </w:tcPr>
          <w:p>
            <w:r>
              <w:rPr>
                <w:rFonts w:ascii="Calibri" w:cs="Calibri" w:eastAsia="Calibri" w:hAnsi="Calibri"/>
                <w:color w:val="1A1A2E"/>
                <w:sz w:val="19"/>
                <w:szCs w:val="19"/>
              </w:rPr>
              <w:t xml:space="preserve">Account status</w:t>
            </w:r>
          </w:p>
        </w:tc>
      </w:tr>
    </w:tbl>
    <w:p>
      <w:pPr>
        <w:pBdr>
          <w:bottom w:val="single" w:color="E07B00" w:sz="8" w:space="8"/>
        </w:pBdr>
        <w:spacing w:after="200" w:before="360"/>
      </w:pPr>
      <w:r>
        <w:rPr>
          <w:rFonts w:ascii="Calibri" w:cs="Calibri" w:eastAsia="Calibri" w:hAnsi="Calibri"/>
          <w:b/>
          <w:bCs/>
          <w:color w:val="1A1A2E"/>
          <w:sz w:val="30"/>
          <w:szCs w:val="30"/>
        </w:rPr>
        <w:t xml:space="preserve">2 · Scope &amp; method</w:t>
      </w:r>
    </w:p>
    <w:p>
      <w:pPr>
        <w:spacing w:after="140" w:line="276"/>
      </w:pPr>
      <w:r>
        <w:rPr>
          <w:rFonts w:ascii="Calibri" w:cs="Calibri" w:eastAsia="Calibri" w:hAnsi="Calibri"/>
          <w:color w:val="1A1A2E"/>
          <w:sz w:val="21"/>
          <w:szCs w:val="21"/>
        </w:rPr>
        <w:t xml:space="preserve">What was and was not examined, so the limits of this report are as clear as its findings.</w:t>
      </w:r>
    </w:p>
    <w:p>
      <w:pPr>
        <w:pStyle w:val="ListParagraph"/>
        <w:numPr>
          <w:ilvl w:val="0"/>
          <w:numId w:val="2"/>
        </w:numPr>
        <w:spacing w:after="100" w:line="276"/>
      </w:pPr>
      <w:r>
        <w:rPr>
          <w:rFonts w:ascii="Calibri" w:cs="Calibri" w:eastAsia="Calibri" w:hAnsi="Calibri"/>
          <w:b/>
          <w:bCs/>
          <w:color w:val="1A1A2E"/>
          <w:sz w:val="21"/>
          <w:szCs w:val="21"/>
        </w:rPr>
        <w:t xml:space="preserve">In scope: </w:t>
      </w:r>
      <w:r>
        <w:rPr>
          <w:rFonts w:ascii="Calibri" w:cs="Calibri" w:eastAsia="Calibri" w:hAnsi="Calibri"/>
          <w:color w:val="1A1A2E"/>
          <w:sz w:val="21"/>
          <w:szCs w:val="21"/>
        </w:rPr>
        <w:t xml:space="preserve">the bramblewick_trade module as supplied: its models, controller, access rules and data files.</w:t>
      </w:r>
    </w:p>
    <w:p>
      <w:pPr>
        <w:pStyle w:val="ListParagraph"/>
        <w:numPr>
          <w:ilvl w:val="0"/>
          <w:numId w:val="2"/>
        </w:numPr>
        <w:spacing w:after="100" w:line="276"/>
      </w:pPr>
      <w:r>
        <w:rPr>
          <w:rFonts w:ascii="Calibri" w:cs="Calibri" w:eastAsia="Calibri" w:hAnsi="Calibri"/>
          <w:b/>
          <w:bCs/>
          <w:color w:val="1A1A2E"/>
          <w:sz w:val="21"/>
          <w:szCs w:val="21"/>
        </w:rPr>
        <w:t xml:space="preserve">Out of scope: </w:t>
      </w:r>
      <w:r>
        <w:rPr>
          <w:rFonts w:ascii="Calibri" w:cs="Calibri" w:eastAsia="Calibri" w:hAnsi="Calibri"/>
          <w:color w:val="1A1A2E"/>
          <w:sz w:val="21"/>
          <w:szCs w:val="21"/>
        </w:rPr>
        <w:t xml:space="preserve">Odoo's own modules, the other custom modules, the live database and its records, and anything that would need the system running.</w:t>
      </w:r>
    </w:p>
    <w:p>
      <w:pPr>
        <w:pStyle w:val="ListParagraph"/>
        <w:numPr>
          <w:ilvl w:val="0"/>
          <w:numId w:val="2"/>
        </w:numPr>
        <w:spacing w:after="100" w:line="276"/>
      </w:pPr>
      <w:r>
        <w:rPr>
          <w:rFonts w:ascii="Calibri" w:cs="Calibri" w:eastAsia="Calibri" w:hAnsi="Calibri"/>
          <w:b/>
          <w:bCs/>
          <w:color w:val="1A1A2E"/>
          <w:sz w:val="21"/>
          <w:szCs w:val="21"/>
        </w:rPr>
        <w:t xml:space="preserve">Method: </w:t>
      </w:r>
      <w:r>
        <w:rPr>
          <w:rFonts w:ascii="Calibri" w:cs="Calibri" w:eastAsia="Calibri" w:hAnsi="Calibri"/>
          <w:color w:val="1A1A2E"/>
          <w:sz w:val="21"/>
          <w:szCs w:val="21"/>
        </w:rPr>
        <w:t xml:space="preserve">first a scan with Nexa, the Odoo checker I build and maintain, which runs on my own machine with no model and no upload. Then a read of every scan finding against the code, and a read of the whole module for what a checker cannot see. Every finding in section 3 was confirmed by reading; two of them were found only by reading.</w:t>
      </w:r>
    </w:p>
    <w:p>
      <w:pPr>
        <w:pBdr>
          <w:bottom w:val="single" w:color="E07B00" w:sz="8" w:space="8"/>
        </w:pBdr>
        <w:spacing w:after="200" w:before="360"/>
      </w:pPr>
      <w:r>
        <w:rPr>
          <w:rFonts w:ascii="Calibri" w:cs="Calibri" w:eastAsia="Calibri" w:hAnsi="Calibri"/>
          <w:b/>
          <w:bCs/>
          <w:color w:val="1A1A2E"/>
          <w:sz w:val="30"/>
          <w:szCs w:val="30"/>
        </w:rPr>
        <w:t xml:space="preserve">3 · Detailed findings</w:t>
      </w:r>
    </w:p>
    <w:p>
      <w:pPr>
        <w:keepNext/>
        <w:spacing w:after="80" w:before="280"/>
      </w:pPr>
      <w:r>
        <w:rPr>
          <w:rFonts w:ascii="Calibri" w:cs="Calibri" w:eastAsia="Calibri" w:hAnsi="Calibri"/>
          <w:b/>
          <w:bCs/>
          <w:color w:val="1A1A2E"/>
          <w:sz w:val="26"/>
          <w:szCs w:val="26"/>
        </w:rPr>
        <w:t xml:space="preserve">F-01 · Paid invoices stay on landscapers' statements</w:t>
      </w:r>
    </w:p>
    <w:p>
      <w:pPr>
        <w:keepNext/>
        <w:spacing w:after="120"/>
      </w:pPr>
      <w:r>
        <w:rPr>
          <w:rFonts w:ascii="Calibri" w:cs="Calibri" w:eastAsia="Calibri" w:hAnsi="Calibri"/>
          <w:b/>
          <w:bCs/>
          <w:color w:val="595959"/>
          <w:sz w:val="17"/>
          <w:szCs w:val="17"/>
        </w:rPr>
        <w:t xml:space="preserve">Severity: </w:t>
      </w:r>
      <w:r>
        <w:rPr>
          <w:rFonts w:ascii="Calibri" w:cs="Calibri" w:eastAsia="Calibri" w:hAnsi="Calibri"/>
          <w:color w:val="E07B00"/>
          <w:sz w:val="17"/>
          <w:szCs w:val="17"/>
        </w:rPr>
        <w:t xml:space="preserve">High</w:t>
      </w:r>
      <w:r>
        <w:rPr>
          <w:rFonts w:ascii="Calibri" w:cs="Calibri" w:eastAsia="Calibri" w:hAnsi="Calibri"/>
          <w:b/>
          <w:bCs/>
          <w:color w:val="595959"/>
          <w:sz w:val="17"/>
          <w:szCs w:val="17"/>
        </w:rPr>
        <w:t xml:space="preserve">   Where you would notice it: </w:t>
      </w:r>
      <w:r>
        <w:rPr>
          <w:rFonts w:ascii="Calibri" w:cs="Calibri" w:eastAsia="Calibri" w:hAnsi="Calibri"/>
          <w:color w:val="E07B00"/>
          <w:sz w:val="17"/>
          <w:szCs w:val="17"/>
        </w:rPr>
        <w:t xml:space="preserve">Statements, overdue list</w:t>
      </w:r>
      <w:r>
        <w:rPr>
          <w:rFonts w:ascii="Calibri" w:cs="Calibri" w:eastAsia="Calibri" w:hAnsi="Calibri"/>
          <w:b/>
          <w:bCs/>
          <w:color w:val="595959"/>
          <w:sz w:val="17"/>
          <w:szCs w:val="17"/>
        </w:rPr>
        <w:t xml:space="preserve">   Source: </w:t>
      </w:r>
      <w:r>
        <w:rPr>
          <w:rFonts w:ascii="Calibri" w:cs="Calibri" w:eastAsia="Calibri" w:hAnsi="Calibri"/>
          <w:color w:val="E07B00"/>
          <w:sz w:val="17"/>
          <w:szCs w:val="17"/>
        </w:rPr>
        <w:t xml:space="preserve">Found by reading</w:t>
      </w:r>
    </w:p>
    <w:p>
      <w:pPr>
        <w:spacing w:after="140" w:line="276"/>
      </w:pPr>
      <w:r>
        <w:rPr>
          <w:rFonts w:ascii="Calibri" w:cs="Calibri" w:eastAsia="Calibri" w:hAnsi="Calibri"/>
          <w:b/>
          <w:bCs/>
          <w:color w:val="1A1A2E"/>
          <w:sz w:val="21"/>
          <w:szCs w:val="21"/>
        </w:rPr>
        <w:t xml:space="preserve">What I found:  </w:t>
      </w:r>
      <w:r>
        <w:rPr>
          <w:rFonts w:ascii="Calibri" w:cs="Calibri" w:eastAsia="Calibri" w:hAnsi="Calibri"/>
          <w:color w:val="1A1A2E"/>
          <w:sz w:val="21"/>
          <w:szCs w:val="21"/>
        </w:rPr>
        <w:t xml:space="preserve">The outstanding total on each trade account is stored in the database and worked out from the invoices' unpaid amounts. It is told to recalculate only when invoices are added to or removed from the account, not when one is paid. So paying an invoice leaves the old total in place.</w:t>
      </w:r>
    </w:p>
    <w:p>
      <w:pPr>
        <w:spacing w:after="140" w:line="276"/>
      </w:pPr>
      <w:r>
        <w:rPr>
          <w:rFonts w:ascii="Calibri" w:cs="Calibri" w:eastAsia="Calibri" w:hAnsi="Calibri"/>
          <w:b/>
          <w:bCs/>
          <w:color w:val="1A1A2E"/>
          <w:sz w:val="21"/>
          <w:szCs w:val="21"/>
        </w:rPr>
        <w:t xml:space="preserve">Why it matters:  </w:t>
      </w:r>
      <w:r>
        <w:rPr>
          <w:rFonts w:ascii="Calibri" w:cs="Calibri" w:eastAsia="Calibri" w:hAnsi="Calibri"/>
          <w:color w:val="1A1A2E"/>
          <w:sz w:val="21"/>
          <w:szCs w:val="21"/>
        </w:rPr>
        <w:t xml:space="preserve">This is the complaint you started with. The monthly statement and the overdue list both read that stored total, so a landscaper who has paid is still shown as owing, and stays on the overdue list until someone happens to add another invoice to their account.</w:t>
      </w:r>
    </w:p>
    <w:p>
      <w:pPr>
        <w:spacing w:after="140" w:line="276"/>
      </w:pPr>
      <w:r>
        <w:rPr>
          <w:rFonts w:ascii="Calibri" w:cs="Calibri" w:eastAsia="Calibri" w:hAnsi="Calibri"/>
          <w:b/>
          <w:bCs/>
          <w:color w:val="1A1A2E"/>
          <w:sz w:val="21"/>
          <w:szCs w:val="21"/>
        </w:rPr>
        <w:t xml:space="preserve">Evidence:  </w:t>
      </w:r>
      <w:r>
        <w:rPr>
          <w:rFonts w:ascii="Courier New" w:cs="Courier New" w:eastAsia="Courier New" w:hAnsi="Courier New"/>
          <w:color w:val="1A1A2E"/>
          <w:sz w:val="19"/>
          <w:szCs w:val="19"/>
        </w:rPr>
        <w:t xml:space="preserve">models/trade_account.py:22</w:t>
      </w:r>
      <w:r>
        <w:rPr>
          <w:rFonts w:ascii="Calibri" w:cs="Calibri" w:eastAsia="Calibri" w:hAnsi="Calibri"/>
          <w:color w:val="1A1A2E"/>
          <w:sz w:val="21"/>
          <w:szCs w:val="21"/>
        </w:rPr>
        <w:t xml:space="preserve">, </w:t>
      </w:r>
      <w:r>
        <w:rPr>
          <w:rFonts w:ascii="Courier New" w:cs="Courier New" w:eastAsia="Courier New" w:hAnsi="Courier New"/>
          <w:color w:val="1A1A2E"/>
          <w:sz w:val="19"/>
          <w:szCs w:val="19"/>
        </w:rPr>
        <w:t xml:space="preserve">@api.depends("invoice_ids")</w:t>
      </w:r>
      <w:r>
        <w:rPr>
          <w:rFonts w:ascii="Calibri" w:cs="Calibri" w:eastAsia="Calibri" w:hAnsi="Calibri"/>
          <w:color w:val="1A1A2E"/>
          <w:sz w:val="21"/>
          <w:szCs w:val="21"/>
        </w:rPr>
        <w:t xml:space="preserve"> above a calculation that reads </w:t>
      </w:r>
      <w:r>
        <w:rPr>
          <w:rFonts w:ascii="Courier New" w:cs="Courier New" w:eastAsia="Courier New" w:hAnsi="Courier New"/>
          <w:color w:val="1A1A2E"/>
          <w:sz w:val="19"/>
          <w:szCs w:val="19"/>
        </w:rPr>
        <w:t xml:space="preserve">invoice_ids.mapped("amount_residual")</w:t>
      </w:r>
      <w:r>
        <w:rPr>
          <w:rFonts w:ascii="Calibri" w:cs="Calibri" w:eastAsia="Calibri" w:hAnsi="Calibri"/>
          <w:color w:val="1A1A2E"/>
          <w:sz w:val="21"/>
          <w:szCs w:val="21"/>
        </w:rPr>
        <w:t xml:space="preserve">. Nexa did not flag this one: its check did not yet follow a field read written as </w:t>
      </w:r>
      <w:r>
        <w:rPr>
          <w:rFonts w:ascii="Courier New" w:cs="Courier New" w:eastAsia="Courier New" w:hAnsi="Courier New"/>
          <w:color w:val="1A1A2E"/>
          <w:sz w:val="19"/>
          <w:szCs w:val="19"/>
        </w:rPr>
        <w:t xml:space="preserve">mapped("...")</w:t>
      </w:r>
      <w:r>
        <w:rPr>
          <w:rFonts w:ascii="Calibri" w:cs="Calibri" w:eastAsia="Calibri" w:hAnsi="Calibri"/>
          <w:color w:val="1A1A2E"/>
          <w:sz w:val="21"/>
          <w:szCs w:val="21"/>
        </w:rPr>
        <w:t xml:space="preserve">. The scan is where I start, not where I stop. I taught Nexa to follow that read the same day, so a scan today flags it.</w:t>
      </w:r>
    </w:p>
    <w:p>
      <w:pPr>
        <w:spacing w:after="140" w:line="276"/>
      </w:pPr>
      <w:r>
        <w:rPr>
          <w:rFonts w:ascii="Calibri" w:cs="Calibri" w:eastAsia="Calibri" w:hAnsi="Calibri"/>
          <w:b/>
          <w:bCs/>
          <w:color w:val="1A1A2E"/>
          <w:sz w:val="21"/>
          <w:szCs w:val="21"/>
        </w:rPr>
        <w:t xml:space="preserve">Recommended guardrail:  </w:t>
      </w:r>
      <w:r>
        <w:rPr>
          <w:rFonts w:ascii="Calibri" w:cs="Calibri" w:eastAsia="Calibri" w:hAnsi="Calibri"/>
          <w:color w:val="1A1A2E"/>
          <w:sz w:val="21"/>
          <w:szCs w:val="21"/>
        </w:rPr>
        <w:t xml:space="preserve">Declare the full path, </w:t>
      </w:r>
      <w:r>
        <w:rPr>
          <w:rFonts w:ascii="Courier New" w:cs="Courier New" w:eastAsia="Courier New" w:hAnsi="Courier New"/>
          <w:color w:val="1A1A2E"/>
          <w:sz w:val="19"/>
          <w:szCs w:val="19"/>
        </w:rPr>
        <w:t xml:space="preserve">@api.depends("invoice_ids.amount_residual")</w:t>
      </w:r>
      <w:r>
        <w:rPr>
          <w:rFonts w:ascii="Calibri" w:cs="Calibri" w:eastAsia="Calibri" w:hAnsi="Calibri"/>
          <w:color w:val="1A1A2E"/>
          <w:sz w:val="21"/>
          <w:szCs w:val="21"/>
        </w:rPr>
        <w:t xml:space="preserve">, then recalculate the existing stored totals once so every account starts from the right figure.</w:t>
      </w:r>
    </w:p>
    <w:p>
      <w:pPr>
        <w:keepNext/>
        <w:spacing w:after="80" w:before="280"/>
      </w:pPr>
      <w:r>
        <w:rPr>
          <w:rFonts w:ascii="Calibri" w:cs="Calibri" w:eastAsia="Calibri" w:hAnsi="Calibri"/>
          <w:b/>
          <w:bCs/>
          <w:color w:val="1A1A2E"/>
          <w:sz w:val="26"/>
          <w:szCs w:val="26"/>
        </w:rPr>
        <w:t xml:space="preserve">F-02 · Trade account references have not been unique since the Odoo 19 upgrade</w:t>
      </w:r>
    </w:p>
    <w:p>
      <w:pPr>
        <w:keepNext/>
        <w:spacing w:after="120"/>
      </w:pPr>
      <w:r>
        <w:rPr>
          <w:rFonts w:ascii="Calibri" w:cs="Calibri" w:eastAsia="Calibri" w:hAnsi="Calibri"/>
          <w:b/>
          <w:bCs/>
          <w:color w:val="595959"/>
          <w:sz w:val="17"/>
          <w:szCs w:val="17"/>
        </w:rPr>
        <w:t xml:space="preserve">Severity: </w:t>
      </w:r>
      <w:r>
        <w:rPr>
          <w:rFonts w:ascii="Calibri" w:cs="Calibri" w:eastAsia="Calibri" w:hAnsi="Calibri"/>
          <w:color w:val="E07B00"/>
          <w:sz w:val="17"/>
          <w:szCs w:val="17"/>
        </w:rPr>
        <w:t xml:space="preserve">High</w:t>
      </w:r>
      <w:r>
        <w:rPr>
          <w:rFonts w:ascii="Calibri" w:cs="Calibri" w:eastAsia="Calibri" w:hAnsi="Calibri"/>
          <w:b/>
          <w:bCs/>
          <w:color w:val="595959"/>
          <w:sz w:val="17"/>
          <w:szCs w:val="17"/>
        </w:rPr>
        <w:t xml:space="preserve">   Where you would notice it: </w:t>
      </w:r>
      <w:r>
        <w:rPr>
          <w:rFonts w:ascii="Calibri" w:cs="Calibri" w:eastAsia="Calibri" w:hAnsi="Calibri"/>
          <w:color w:val="E07B00"/>
          <w:sz w:val="17"/>
          <w:szCs w:val="17"/>
        </w:rPr>
        <w:t xml:space="preserve">Every trade account</w:t>
      </w:r>
      <w:r>
        <w:rPr>
          <w:rFonts w:ascii="Calibri" w:cs="Calibri" w:eastAsia="Calibri" w:hAnsi="Calibri"/>
          <w:b/>
          <w:bCs/>
          <w:color w:val="595959"/>
          <w:sz w:val="17"/>
          <w:szCs w:val="17"/>
        </w:rPr>
        <w:t xml:space="preserve">   Source: </w:t>
      </w:r>
      <w:r>
        <w:rPr>
          <w:rFonts w:ascii="Calibri" w:cs="Calibri" w:eastAsia="Calibri" w:hAnsi="Calibri"/>
          <w:color w:val="E07B00"/>
          <w:sz w:val="17"/>
          <w:szCs w:val="17"/>
        </w:rPr>
        <w:t xml:space="preserve">Nexa: odoo.sql-constraints-are-ignored-from-19</w:t>
      </w:r>
    </w:p>
    <w:p>
      <w:pPr>
        <w:spacing w:after="140" w:line="276"/>
      </w:pPr>
      <w:r>
        <w:rPr>
          <w:rFonts w:ascii="Calibri" w:cs="Calibri" w:eastAsia="Calibri" w:hAnsi="Calibri"/>
          <w:b/>
          <w:bCs/>
          <w:color w:val="1A1A2E"/>
          <w:sz w:val="21"/>
          <w:szCs w:val="21"/>
        </w:rPr>
        <w:t xml:space="preserve">What I found:  </w:t>
      </w:r>
      <w:r>
        <w:rPr>
          <w:rFonts w:ascii="Calibri" w:cs="Calibri" w:eastAsia="Calibri" w:hAnsi="Calibri"/>
          <w:color w:val="1A1A2E"/>
          <w:sz w:val="21"/>
          <w:szCs w:val="21"/>
        </w:rPr>
        <w:t xml:space="preserve">The rule that no two trade accounts may share a reference is written in the older style that Odoo 19 no longer creates. Odoo notes this in one line of its startup log and carries on, so the rule simply stopped existing on the day you upgraded.</w:t>
      </w:r>
    </w:p>
    <w:p>
      <w:pPr>
        <w:spacing w:after="140" w:line="276"/>
      </w:pPr>
      <w:r>
        <w:rPr>
          <w:rFonts w:ascii="Calibri" w:cs="Calibri" w:eastAsia="Calibri" w:hAnsi="Calibri"/>
          <w:b/>
          <w:bCs/>
          <w:color w:val="1A1A2E"/>
          <w:sz w:val="21"/>
          <w:szCs w:val="21"/>
        </w:rPr>
        <w:t xml:space="preserve">Why it matters:  </w:t>
      </w:r>
      <w:r>
        <w:rPr>
          <w:rFonts w:ascii="Calibri" w:cs="Calibri" w:eastAsia="Calibri" w:hAnsi="Calibri"/>
          <w:color w:val="1A1A2E"/>
          <w:sz w:val="21"/>
          <w:szCs w:val="21"/>
        </w:rPr>
        <w:t xml:space="preserve">This explains the duplicate trade accounts you found. Two accounts with the same reference split one landscaper's invoices between them, so neither statement is complete, and the duplicates will keep appearing until the rule is put back.</w:t>
      </w:r>
    </w:p>
    <w:p>
      <w:pPr>
        <w:spacing w:after="140" w:line="276"/>
      </w:pPr>
      <w:r>
        <w:rPr>
          <w:rFonts w:ascii="Calibri" w:cs="Calibri" w:eastAsia="Calibri" w:hAnsi="Calibri"/>
          <w:b/>
          <w:bCs/>
          <w:color w:val="1A1A2E"/>
          <w:sz w:val="21"/>
          <w:szCs w:val="21"/>
        </w:rPr>
        <w:t xml:space="preserve">Evidence:  </w:t>
      </w:r>
      <w:r>
        <w:rPr>
          <w:rFonts w:ascii="Courier New" w:cs="Courier New" w:eastAsia="Courier New" w:hAnsi="Courier New"/>
          <w:color w:val="1A1A2E"/>
          <w:sz w:val="19"/>
          <w:szCs w:val="19"/>
        </w:rPr>
        <w:t xml:space="preserve">models/trade_account.py:18</w:t>
      </w:r>
      <w:r>
        <w:rPr>
          <w:rFonts w:ascii="Calibri" w:cs="Calibri" w:eastAsia="Calibri" w:hAnsi="Calibri"/>
          <w:color w:val="1A1A2E"/>
          <w:sz w:val="21"/>
          <w:szCs w:val="21"/>
        </w:rPr>
        <w:t xml:space="preserve">, </w:t>
      </w:r>
      <w:r>
        <w:rPr>
          <w:rFonts w:ascii="Courier New" w:cs="Courier New" w:eastAsia="Courier New" w:hAnsi="Courier New"/>
          <w:color w:val="1A1A2E"/>
          <w:sz w:val="19"/>
          <w:szCs w:val="19"/>
        </w:rPr>
        <w:t xml:space="preserve">_sql_constraints</w:t>
      </w:r>
      <w:r>
        <w:rPr>
          <w:rFonts w:ascii="Calibri" w:cs="Calibri" w:eastAsia="Calibri" w:hAnsi="Calibri"/>
          <w:color w:val="1A1A2E"/>
          <w:sz w:val="21"/>
          <w:szCs w:val="21"/>
        </w:rPr>
        <w:t xml:space="preserve"> in a module whose version says 19.0. Graded as a defect by the scan, confirmed by reading.</w:t>
      </w:r>
    </w:p>
    <w:p>
      <w:pPr>
        <w:spacing w:after="140" w:line="276"/>
      </w:pPr>
      <w:r>
        <w:rPr>
          <w:rFonts w:ascii="Calibri" w:cs="Calibri" w:eastAsia="Calibri" w:hAnsi="Calibri"/>
          <w:b/>
          <w:bCs/>
          <w:color w:val="1A1A2E"/>
          <w:sz w:val="21"/>
          <w:szCs w:val="21"/>
        </w:rPr>
        <w:t xml:space="preserve">Recommended guardrail:  </w:t>
      </w:r>
      <w:r>
        <w:rPr>
          <w:rFonts w:ascii="Calibri" w:cs="Calibri" w:eastAsia="Calibri" w:hAnsi="Calibri"/>
          <w:color w:val="1A1A2E"/>
          <w:sz w:val="21"/>
          <w:szCs w:val="21"/>
        </w:rPr>
        <w:t xml:space="preserve">Declare it as </w:t>
      </w:r>
      <w:r>
        <w:rPr>
          <w:rFonts w:ascii="Courier New" w:cs="Courier New" w:eastAsia="Courier New" w:hAnsi="Courier New"/>
          <w:color w:val="1A1A2E"/>
          <w:sz w:val="19"/>
          <w:szCs w:val="19"/>
        </w:rPr>
        <w:t xml:space="preserve">models.Constraint("UNIQUE(reference)", ...)</w:t>
      </w:r>
      <w:r>
        <w:rPr>
          <w:rFonts w:ascii="Calibri" w:cs="Calibri" w:eastAsia="Calibri" w:hAnsi="Calibri"/>
          <w:color w:val="1A1A2E"/>
          <w:sz w:val="21"/>
          <w:szCs w:val="21"/>
        </w:rPr>
        <w:t xml:space="preserve">. Existing duplicates have to be merged first, or Odoo cannot create the new constraint.</w:t>
      </w:r>
    </w:p>
    <w:p>
      <w:pPr>
        <w:keepNext/>
        <w:spacing w:after="80" w:before="280"/>
      </w:pPr>
      <w:r>
        <w:rPr>
          <w:rFonts w:ascii="Calibri" w:cs="Calibri" w:eastAsia="Calibri" w:hAnsi="Calibri"/>
          <w:b/>
          <w:bCs/>
          <w:color w:val="1A1A2E"/>
          <w:sz w:val="26"/>
          <w:szCs w:val="26"/>
        </w:rPr>
        <w:t xml:space="preserve">F-03 · Monthly statements switch themselves off after every module update</w:t>
      </w:r>
    </w:p>
    <w:p>
      <w:pPr>
        <w:keepNext/>
        <w:spacing w:after="120"/>
      </w:pPr>
      <w:r>
        <w:rPr>
          <w:rFonts w:ascii="Calibri" w:cs="Calibri" w:eastAsia="Calibri" w:hAnsi="Calibri"/>
          <w:b/>
          <w:bCs/>
          <w:color w:val="595959"/>
          <w:sz w:val="17"/>
          <w:szCs w:val="17"/>
        </w:rPr>
        <w:t xml:space="preserve">Severity: </w:t>
      </w:r>
      <w:r>
        <w:rPr>
          <w:rFonts w:ascii="Calibri" w:cs="Calibri" w:eastAsia="Calibri" w:hAnsi="Calibri"/>
          <w:color w:val="E07B00"/>
          <w:sz w:val="17"/>
          <w:szCs w:val="17"/>
        </w:rPr>
        <w:t xml:space="preserve">High</w:t>
      </w:r>
      <w:r>
        <w:rPr>
          <w:rFonts w:ascii="Calibri" w:cs="Calibri" w:eastAsia="Calibri" w:hAnsi="Calibri"/>
          <w:b/>
          <w:bCs/>
          <w:color w:val="595959"/>
          <w:sz w:val="17"/>
          <w:szCs w:val="17"/>
        </w:rPr>
        <w:t xml:space="preserve">   Where you would notice it: </w:t>
      </w:r>
      <w:r>
        <w:rPr>
          <w:rFonts w:ascii="Calibri" w:cs="Calibri" w:eastAsia="Calibri" w:hAnsi="Calibri"/>
          <w:color w:val="E07B00"/>
          <w:sz w:val="17"/>
          <w:szCs w:val="17"/>
        </w:rPr>
        <w:t xml:space="preserve">Monthly statements</w:t>
      </w:r>
      <w:r>
        <w:rPr>
          <w:rFonts w:ascii="Calibri" w:cs="Calibri" w:eastAsia="Calibri" w:hAnsi="Calibri"/>
          <w:b/>
          <w:bCs/>
          <w:color w:val="595959"/>
          <w:sz w:val="17"/>
          <w:szCs w:val="17"/>
        </w:rPr>
        <w:t xml:space="preserve">   Source: </w:t>
      </w:r>
      <w:r>
        <w:rPr>
          <w:rFonts w:ascii="Calibri" w:cs="Calibri" w:eastAsia="Calibri" w:hAnsi="Calibri"/>
          <w:color w:val="E07B00"/>
          <w:sz w:val="17"/>
          <w:szCs w:val="17"/>
        </w:rPr>
        <w:t xml:space="preserve">Nexa: odoo.noupdate-on-user-editable-data (advisory)</w:t>
      </w:r>
    </w:p>
    <w:p>
      <w:pPr>
        <w:spacing w:after="140" w:line="276"/>
      </w:pPr>
      <w:r>
        <w:rPr>
          <w:rFonts w:ascii="Calibri" w:cs="Calibri" w:eastAsia="Calibri" w:hAnsi="Calibri"/>
          <w:b/>
          <w:bCs/>
          <w:color w:val="1A1A2E"/>
          <w:sz w:val="21"/>
          <w:szCs w:val="21"/>
        </w:rPr>
        <w:t xml:space="preserve">What I found:  </w:t>
      </w:r>
      <w:r>
        <w:rPr>
          <w:rFonts w:ascii="Calibri" w:cs="Calibri" w:eastAsia="Calibri" w:hAnsi="Calibri"/>
          <w:color w:val="1A1A2E"/>
          <w:sz w:val="21"/>
          <w:szCs w:val="21"/>
        </w:rPr>
        <w:t xml:space="preserve">The scheduled job that sends monthly statements ships switched off, and someone switched it on in the live system. Because the module does not mark that record as yours to keep, every update of the module rewrites it from the file, switched off again.</w:t>
      </w:r>
    </w:p>
    <w:p>
      <w:pPr>
        <w:spacing w:after="140" w:line="276"/>
      </w:pPr>
      <w:r>
        <w:rPr>
          <w:rFonts w:ascii="Calibri" w:cs="Calibri" w:eastAsia="Calibri" w:hAnsi="Calibri"/>
          <w:b/>
          <w:bCs/>
          <w:color w:val="1A1A2E"/>
          <w:sz w:val="21"/>
          <w:szCs w:val="21"/>
        </w:rPr>
        <w:t xml:space="preserve">Why it matters:  </w:t>
      </w:r>
      <w:r>
        <w:rPr>
          <w:rFonts w:ascii="Calibri" w:cs="Calibri" w:eastAsia="Calibri" w:hAnsi="Calibri"/>
          <w:color w:val="1A1A2E"/>
          <w:sz w:val="21"/>
          <w:szCs w:val="21"/>
        </w:rPr>
        <w:t xml:space="preserve">This is why statements "seem to stop some months". Nothing errors and nothing warns: the job is simply off until someone notices that no statements went out.</w:t>
      </w:r>
    </w:p>
    <w:p>
      <w:pPr>
        <w:spacing w:after="140" w:line="276"/>
      </w:pPr>
      <w:r>
        <w:rPr>
          <w:rFonts w:ascii="Calibri" w:cs="Calibri" w:eastAsia="Calibri" w:hAnsi="Calibri"/>
          <w:b/>
          <w:bCs/>
          <w:color w:val="1A1A2E"/>
          <w:sz w:val="21"/>
          <w:szCs w:val="21"/>
        </w:rPr>
        <w:t xml:space="preserve">Evidence:  </w:t>
      </w:r>
      <w:r>
        <w:rPr>
          <w:rFonts w:ascii="Courier New" w:cs="Courier New" w:eastAsia="Courier New" w:hAnsi="Courier New"/>
          <w:color w:val="1A1A2E"/>
          <w:sz w:val="19"/>
          <w:szCs w:val="19"/>
        </w:rPr>
        <w:t xml:space="preserve">data/trade_cron.xml:3</w:t>
      </w:r>
      <w:r>
        <w:rPr>
          <w:rFonts w:ascii="Calibri" w:cs="Calibri" w:eastAsia="Calibri" w:hAnsi="Calibri"/>
          <w:color w:val="1A1A2E"/>
          <w:sz w:val="21"/>
          <w:szCs w:val="21"/>
        </w:rPr>
        <w:t xml:space="preserve">, an </w:t>
      </w:r>
      <w:r>
        <w:rPr>
          <w:rFonts w:ascii="Courier New" w:cs="Courier New" w:eastAsia="Courier New" w:hAnsi="Courier New"/>
          <w:color w:val="1A1A2E"/>
          <w:sz w:val="19"/>
          <w:szCs w:val="19"/>
        </w:rPr>
        <w:t xml:space="preserve">ir.cron</w:t>
      </w:r>
      <w:r>
        <w:rPr>
          <w:rFonts w:ascii="Calibri" w:cs="Calibri" w:eastAsia="Calibri" w:hAnsi="Calibri"/>
          <w:color w:val="1A1A2E"/>
          <w:sz w:val="21"/>
          <w:szCs w:val="21"/>
        </w:rPr>
        <w:t xml:space="preserve"> record with </w:t>
      </w:r>
      <w:r>
        <w:rPr>
          <w:rFonts w:ascii="Courier New" w:cs="Courier New" w:eastAsia="Courier New" w:hAnsi="Courier New"/>
          <w:color w:val="1A1A2E"/>
          <w:sz w:val="19"/>
          <w:szCs w:val="19"/>
        </w:rPr>
        <w:t xml:space="preserve">active="False"</w:t>
      </w:r>
      <w:r>
        <w:rPr>
          <w:rFonts w:ascii="Calibri" w:cs="Calibri" w:eastAsia="Calibri" w:hAnsi="Calibri"/>
          <w:color w:val="1A1A2E"/>
          <w:sz w:val="21"/>
          <w:szCs w:val="21"/>
        </w:rPr>
        <w:t xml:space="preserve"> and no </w:t>
      </w:r>
      <w:r>
        <w:rPr>
          <w:rFonts w:ascii="Courier New" w:cs="Courier New" w:eastAsia="Courier New" w:hAnsi="Courier New"/>
          <w:color w:val="1A1A2E"/>
          <w:sz w:val="19"/>
          <w:szCs w:val="19"/>
        </w:rPr>
        <w:t xml:space="preserve">noupdate="1"</w:t>
      </w:r>
      <w:r>
        <w:rPr>
          <w:rFonts w:ascii="Calibri" w:cs="Calibri" w:eastAsia="Calibri" w:hAnsi="Calibri"/>
          <w:color w:val="1A1A2E"/>
          <w:sz w:val="21"/>
          <w:szCs w:val="21"/>
        </w:rPr>
        <w:t xml:space="preserve">. The scan marks this rule advisory; reading the record and your description made it a finding.</w:t>
      </w:r>
    </w:p>
    <w:p>
      <w:pPr>
        <w:spacing w:after="140" w:line="276"/>
      </w:pPr>
      <w:r>
        <w:rPr>
          <w:rFonts w:ascii="Calibri" w:cs="Calibri" w:eastAsia="Calibri" w:hAnsi="Calibri"/>
          <w:b/>
          <w:bCs/>
          <w:color w:val="1A1A2E"/>
          <w:sz w:val="21"/>
          <w:szCs w:val="21"/>
        </w:rPr>
        <w:t xml:space="preserve">Recommended guardrail:  </w:t>
      </w:r>
      <w:r>
        <w:rPr>
          <w:rFonts w:ascii="Calibri" w:cs="Calibri" w:eastAsia="Calibri" w:hAnsi="Calibri"/>
          <w:color w:val="1A1A2E"/>
          <w:sz w:val="21"/>
          <w:szCs w:val="21"/>
        </w:rPr>
        <w:t xml:space="preserve">Wrap the record in </w:t>
      </w:r>
      <w:r>
        <w:rPr>
          <w:rFonts w:ascii="Courier New" w:cs="Courier New" w:eastAsia="Courier New" w:hAnsi="Courier New"/>
          <w:color w:val="1A1A2E"/>
          <w:sz w:val="19"/>
          <w:szCs w:val="19"/>
        </w:rPr>
        <w:t xml:space="preserve">&lt;data noupdate="1"&gt;</w:t>
      </w:r>
      <w:r>
        <w:rPr>
          <w:rFonts w:ascii="Calibri" w:cs="Calibri" w:eastAsia="Calibri" w:hAnsi="Calibri"/>
          <w:color w:val="1A1A2E"/>
          <w:sz w:val="21"/>
          <w:szCs w:val="21"/>
        </w:rPr>
        <w:t xml:space="preserve"> so an update installs it once and then leaves your setting alone.</w:t>
      </w:r>
    </w:p>
    <w:p>
      <w:pPr>
        <w:keepNext/>
        <w:spacing w:after="80" w:before="280"/>
      </w:pPr>
      <w:r>
        <w:rPr>
          <w:rFonts w:ascii="Calibri" w:cs="Calibri" w:eastAsia="Calibri" w:hAnsi="Calibri"/>
          <w:b/>
          <w:bCs/>
          <w:color w:val="1A1A2E"/>
          <w:sz w:val="26"/>
          <w:szCs w:val="26"/>
        </w:rPr>
        <w:t xml:space="preserve">F-04 · The trade discount goes back to 10% on every module update</w:t>
      </w:r>
    </w:p>
    <w:p>
      <w:pPr>
        <w:keepNext/>
        <w:spacing w:after="120"/>
      </w:pPr>
      <w:r>
        <w:rPr>
          <w:rFonts w:ascii="Calibri" w:cs="Calibri" w:eastAsia="Calibri" w:hAnsi="Calibri"/>
          <w:b/>
          <w:bCs/>
          <w:color w:val="595959"/>
          <w:sz w:val="17"/>
          <w:szCs w:val="17"/>
        </w:rPr>
        <w:t xml:space="preserve">Severity: </w:t>
      </w:r>
      <w:r>
        <w:rPr>
          <w:rFonts w:ascii="Calibri" w:cs="Calibri" w:eastAsia="Calibri" w:hAnsi="Calibri"/>
          <w:color w:val="E07B00"/>
          <w:sz w:val="17"/>
          <w:szCs w:val="17"/>
        </w:rPr>
        <w:t xml:space="preserve">Medium</w:t>
      </w:r>
      <w:r>
        <w:rPr>
          <w:rFonts w:ascii="Calibri" w:cs="Calibri" w:eastAsia="Calibri" w:hAnsi="Calibri"/>
          <w:b/>
          <w:bCs/>
          <w:color w:val="595959"/>
          <w:sz w:val="17"/>
          <w:szCs w:val="17"/>
        </w:rPr>
        <w:t xml:space="preserve">   Where you would notice it: </w:t>
      </w:r>
      <w:r>
        <w:rPr>
          <w:rFonts w:ascii="Calibri" w:cs="Calibri" w:eastAsia="Calibri" w:hAnsi="Calibri"/>
          <w:color w:val="E07B00"/>
          <w:sz w:val="17"/>
          <w:szCs w:val="17"/>
        </w:rPr>
        <w:t xml:space="preserve">Trade pricing</w:t>
      </w:r>
      <w:r>
        <w:rPr>
          <w:rFonts w:ascii="Calibri" w:cs="Calibri" w:eastAsia="Calibri" w:hAnsi="Calibri"/>
          <w:b/>
          <w:bCs/>
          <w:color w:val="595959"/>
          <w:sz w:val="17"/>
          <w:szCs w:val="17"/>
        </w:rPr>
        <w:t xml:space="preserve">   Source: </w:t>
      </w:r>
      <w:r>
        <w:rPr>
          <w:rFonts w:ascii="Calibri" w:cs="Calibri" w:eastAsia="Calibri" w:hAnsi="Calibri"/>
          <w:color w:val="E07B00"/>
          <w:sz w:val="17"/>
          <w:szCs w:val="17"/>
        </w:rPr>
        <w:t xml:space="preserve">Nexa: odoo.noupdate-on-user-editable-data (advisory)</w:t>
      </w:r>
    </w:p>
    <w:p>
      <w:pPr>
        <w:spacing w:after="140" w:line="276"/>
      </w:pPr>
      <w:r>
        <w:rPr>
          <w:rFonts w:ascii="Calibri" w:cs="Calibri" w:eastAsia="Calibri" w:hAnsi="Calibri"/>
          <w:b/>
          <w:bCs/>
          <w:color w:val="1A1A2E"/>
          <w:sz w:val="21"/>
          <w:szCs w:val="21"/>
        </w:rPr>
        <w:t xml:space="preserve">What I found:  </w:t>
      </w:r>
      <w:r>
        <w:rPr>
          <w:rFonts w:ascii="Calibri" w:cs="Calibri" w:eastAsia="Calibri" w:hAnsi="Calibri"/>
          <w:color w:val="1A1A2E"/>
          <w:sz w:val="21"/>
          <w:szCs w:val="21"/>
        </w:rPr>
        <w:t xml:space="preserve">The default trade discount is a setting shipped in the module's data file with the value 10. It has the same missing marker as F-03, so each update writes 10 back over the 12.5 your team set.</w:t>
      </w:r>
    </w:p>
    <w:p>
      <w:pPr>
        <w:spacing w:after="140" w:line="276"/>
      </w:pPr>
      <w:r>
        <w:rPr>
          <w:rFonts w:ascii="Calibri" w:cs="Calibri" w:eastAsia="Calibri" w:hAnsi="Calibri"/>
          <w:b/>
          <w:bCs/>
          <w:color w:val="1A1A2E"/>
          <w:sz w:val="21"/>
          <w:szCs w:val="21"/>
        </w:rPr>
        <w:t xml:space="preserve">Why it matters:  </w:t>
      </w:r>
      <w:r>
        <w:rPr>
          <w:rFonts w:ascii="Calibri" w:cs="Calibri" w:eastAsia="Calibri" w:hAnsi="Calibri"/>
          <w:color w:val="1A1A2E"/>
          <w:sz w:val="21"/>
          <w:szCs w:val="21"/>
        </w:rPr>
        <w:t xml:space="preserve">Quotes made after an update carry the wrong discount until someone spots it, and it looks like a person changed the setting when nobody did.</w:t>
      </w:r>
    </w:p>
    <w:p>
      <w:pPr>
        <w:spacing w:after="140" w:line="276"/>
      </w:pPr>
      <w:r>
        <w:rPr>
          <w:rFonts w:ascii="Calibri" w:cs="Calibri" w:eastAsia="Calibri" w:hAnsi="Calibri"/>
          <w:b/>
          <w:bCs/>
          <w:color w:val="1A1A2E"/>
          <w:sz w:val="21"/>
          <w:szCs w:val="21"/>
        </w:rPr>
        <w:t xml:space="preserve">Evidence:  </w:t>
      </w:r>
      <w:r>
        <w:rPr>
          <w:rFonts w:ascii="Courier New" w:cs="Courier New" w:eastAsia="Courier New" w:hAnsi="Courier New"/>
          <w:color w:val="1A1A2E"/>
          <w:sz w:val="19"/>
          <w:szCs w:val="19"/>
        </w:rPr>
        <w:t xml:space="preserve">data/trade_settings.xml:3</w:t>
      </w:r>
      <w:r>
        <w:rPr>
          <w:rFonts w:ascii="Calibri" w:cs="Calibri" w:eastAsia="Calibri" w:hAnsi="Calibri"/>
          <w:color w:val="1A1A2E"/>
          <w:sz w:val="21"/>
          <w:szCs w:val="21"/>
        </w:rPr>
        <w:t xml:space="preserve">, an </w:t>
      </w:r>
      <w:r>
        <w:rPr>
          <w:rFonts w:ascii="Courier New" w:cs="Courier New" w:eastAsia="Courier New" w:hAnsi="Courier New"/>
          <w:color w:val="1A1A2E"/>
          <w:sz w:val="19"/>
          <w:szCs w:val="19"/>
        </w:rPr>
        <w:t xml:space="preserve">ir.config_parameter</w:t>
      </w:r>
      <w:r>
        <w:rPr>
          <w:rFonts w:ascii="Calibri" w:cs="Calibri" w:eastAsia="Calibri" w:hAnsi="Calibri"/>
          <w:color w:val="1A1A2E"/>
          <w:sz w:val="21"/>
          <w:szCs w:val="21"/>
        </w:rPr>
        <w:t xml:space="preserve"> record with no </w:t>
      </w:r>
      <w:r>
        <w:rPr>
          <w:rFonts w:ascii="Courier New" w:cs="Courier New" w:eastAsia="Courier New" w:hAnsi="Courier New"/>
          <w:color w:val="1A1A2E"/>
          <w:sz w:val="19"/>
          <w:szCs w:val="19"/>
        </w:rPr>
        <w:t xml:space="preserve">noupdate="1"</w:t>
      </w:r>
      <w:r>
        <w:rPr>
          <w:rFonts w:ascii="Calibri" w:cs="Calibri" w:eastAsia="Calibri" w:hAnsi="Calibri"/>
          <w:color w:val="1A1A2E"/>
          <w:sz w:val="21"/>
          <w:szCs w:val="21"/>
        </w:rPr>
        <w:t xml:space="preserve">.</w:t>
      </w:r>
    </w:p>
    <w:p>
      <w:pPr>
        <w:spacing w:after="140" w:line="276"/>
      </w:pPr>
      <w:r>
        <w:rPr>
          <w:rFonts w:ascii="Calibri" w:cs="Calibri" w:eastAsia="Calibri" w:hAnsi="Calibri"/>
          <w:b/>
          <w:bCs/>
          <w:color w:val="1A1A2E"/>
          <w:sz w:val="21"/>
          <w:szCs w:val="21"/>
        </w:rPr>
        <w:t xml:space="preserve">Recommended guardrail:  </w:t>
      </w:r>
      <w:r>
        <w:rPr>
          <w:rFonts w:ascii="Calibri" w:cs="Calibri" w:eastAsia="Calibri" w:hAnsi="Calibri"/>
          <w:color w:val="1A1A2E"/>
          <w:sz w:val="21"/>
          <w:szCs w:val="21"/>
        </w:rPr>
        <w:t xml:space="preserve">The same one-line change as F-03. Both can go in one update.</w:t>
      </w:r>
    </w:p>
    <w:p>
      <w:pPr>
        <w:keepNext/>
        <w:spacing w:after="80" w:before="280"/>
      </w:pPr>
      <w:r>
        <w:rPr>
          <w:rFonts w:ascii="Calibri" w:cs="Calibri" w:eastAsia="Calibri" w:hAnsi="Calibri"/>
          <w:b/>
          <w:bCs/>
          <w:color w:val="1A1A2E"/>
          <w:sz w:val="26"/>
          <w:szCs w:val="26"/>
        </w:rPr>
        <w:t xml:space="preserve">F-05 · A statement run that fails halfway can send some landscapers their statement twice</w:t>
      </w:r>
    </w:p>
    <w:p>
      <w:pPr>
        <w:keepNext/>
        <w:spacing w:after="120"/>
      </w:pPr>
      <w:r>
        <w:rPr>
          <w:rFonts w:ascii="Calibri" w:cs="Calibri" w:eastAsia="Calibri" w:hAnsi="Calibri"/>
          <w:b/>
          <w:bCs/>
          <w:color w:val="595959"/>
          <w:sz w:val="17"/>
          <w:szCs w:val="17"/>
        </w:rPr>
        <w:t xml:space="preserve">Severity: </w:t>
      </w:r>
      <w:r>
        <w:rPr>
          <w:rFonts w:ascii="Calibri" w:cs="Calibri" w:eastAsia="Calibri" w:hAnsi="Calibri"/>
          <w:color w:val="E07B00"/>
          <w:sz w:val="17"/>
          <w:szCs w:val="17"/>
        </w:rPr>
        <w:t xml:space="preserve">Medium</w:t>
      </w:r>
      <w:r>
        <w:rPr>
          <w:rFonts w:ascii="Calibri" w:cs="Calibri" w:eastAsia="Calibri" w:hAnsi="Calibri"/>
          <w:b/>
          <w:bCs/>
          <w:color w:val="595959"/>
          <w:sz w:val="17"/>
          <w:szCs w:val="17"/>
        </w:rPr>
        <w:t xml:space="preserve">   Where you would notice it: </w:t>
      </w:r>
      <w:r>
        <w:rPr>
          <w:rFonts w:ascii="Calibri" w:cs="Calibri" w:eastAsia="Calibri" w:hAnsi="Calibri"/>
          <w:color w:val="E07B00"/>
          <w:sz w:val="17"/>
          <w:szCs w:val="17"/>
        </w:rPr>
        <w:t xml:space="preserve">Customer-facing</w:t>
      </w:r>
      <w:r>
        <w:rPr>
          <w:rFonts w:ascii="Calibri" w:cs="Calibri" w:eastAsia="Calibri" w:hAnsi="Calibri"/>
          <w:b/>
          <w:bCs/>
          <w:color w:val="595959"/>
          <w:sz w:val="17"/>
          <w:szCs w:val="17"/>
        </w:rPr>
        <w:t xml:space="preserve">   Source: </w:t>
      </w:r>
      <w:r>
        <w:rPr>
          <w:rFonts w:ascii="Calibri" w:cs="Calibri" w:eastAsia="Calibri" w:hAnsi="Calibri"/>
          <w:color w:val="E07B00"/>
          <w:sz w:val="17"/>
          <w:szCs w:val="17"/>
        </w:rPr>
        <w:t xml:space="preserve">Nexa: odoo.commit-inside-a-loop-splits-the-transaction</w:t>
      </w:r>
    </w:p>
    <w:p>
      <w:pPr>
        <w:spacing w:after="140" w:line="276"/>
      </w:pPr>
      <w:r>
        <w:rPr>
          <w:rFonts w:ascii="Calibri" w:cs="Calibri" w:eastAsia="Calibri" w:hAnsi="Calibri"/>
          <w:b/>
          <w:bCs/>
          <w:color w:val="1A1A2E"/>
          <w:sz w:val="21"/>
          <w:szCs w:val="21"/>
        </w:rPr>
        <w:t xml:space="preserve">What I found:  </w:t>
      </w:r>
      <w:r>
        <w:rPr>
          <w:rFonts w:ascii="Calibri" w:cs="Calibri" w:eastAsia="Calibri" w:hAnsi="Calibri"/>
          <w:color w:val="1A1A2E"/>
          <w:sz w:val="21"/>
          <w:szCs w:val="21"/>
        </w:rPr>
        <w:t xml:space="preserve">The statement job saves after each account. If it fails partway through, the accounts already done stay done, and the next run starts again from the top of the list.</w:t>
      </w:r>
    </w:p>
    <w:p>
      <w:pPr>
        <w:spacing w:after="140" w:line="276"/>
      </w:pPr>
      <w:r>
        <w:rPr>
          <w:rFonts w:ascii="Calibri" w:cs="Calibri" w:eastAsia="Calibri" w:hAnsi="Calibri"/>
          <w:b/>
          <w:bCs/>
          <w:color w:val="1A1A2E"/>
          <w:sz w:val="21"/>
          <w:szCs w:val="21"/>
        </w:rPr>
        <w:t xml:space="preserve">Why it matters:  </w:t>
      </w:r>
      <w:r>
        <w:rPr>
          <w:rFonts w:ascii="Calibri" w:cs="Calibri" w:eastAsia="Calibri" w:hAnsi="Calibri"/>
          <w:color w:val="1A1A2E"/>
          <w:sz w:val="21"/>
          <w:szCs w:val="21"/>
        </w:rPr>
        <w:t xml:space="preserve">Everyone before the failure receives a second copy, and nothing records who already had one.</w:t>
      </w:r>
    </w:p>
    <w:p>
      <w:pPr>
        <w:spacing w:after="140" w:line="276"/>
      </w:pPr>
      <w:r>
        <w:rPr>
          <w:rFonts w:ascii="Calibri" w:cs="Calibri" w:eastAsia="Calibri" w:hAnsi="Calibri"/>
          <w:b/>
          <w:bCs/>
          <w:color w:val="1A1A2E"/>
          <w:sz w:val="21"/>
          <w:szCs w:val="21"/>
        </w:rPr>
        <w:t xml:space="preserve">Evidence:  </w:t>
      </w:r>
      <w:r>
        <w:rPr>
          <w:rFonts w:ascii="Courier New" w:cs="Courier New" w:eastAsia="Courier New" w:hAnsi="Courier New"/>
          <w:color w:val="1A1A2E"/>
          <w:sz w:val="19"/>
          <w:szCs w:val="19"/>
        </w:rPr>
        <w:t xml:space="preserve">models/trade_account.py:39</w:t>
      </w:r>
      <w:r>
        <w:rPr>
          <w:rFonts w:ascii="Calibri" w:cs="Calibri" w:eastAsia="Calibri" w:hAnsi="Calibri"/>
          <w:color w:val="1A1A2E"/>
          <w:sz w:val="21"/>
          <w:szCs w:val="21"/>
        </w:rPr>
        <w:t xml:space="preserve">, </w:t>
      </w:r>
      <w:r>
        <w:rPr>
          <w:rFonts w:ascii="Courier New" w:cs="Courier New" w:eastAsia="Courier New" w:hAnsi="Courier New"/>
          <w:color w:val="1A1A2E"/>
          <w:sz w:val="19"/>
          <w:szCs w:val="19"/>
        </w:rPr>
        <w:t xml:space="preserve">self.env.cr.commit()</w:t>
      </w:r>
      <w:r>
        <w:rPr>
          <w:rFonts w:ascii="Calibri" w:cs="Calibri" w:eastAsia="Calibri" w:hAnsi="Calibri"/>
          <w:color w:val="1A1A2E"/>
          <w:sz w:val="21"/>
          <w:szCs w:val="21"/>
        </w:rPr>
        <w:t xml:space="preserve"> inside the loop over accounts.</w:t>
      </w:r>
    </w:p>
    <w:p>
      <w:pPr>
        <w:spacing w:after="140" w:line="276"/>
      </w:pPr>
      <w:r>
        <w:rPr>
          <w:rFonts w:ascii="Calibri" w:cs="Calibri" w:eastAsia="Calibri" w:hAnsi="Calibri"/>
          <w:b/>
          <w:bCs/>
          <w:color w:val="1A1A2E"/>
          <w:sz w:val="21"/>
          <w:szCs w:val="21"/>
        </w:rPr>
        <w:t xml:space="preserve">Recommended guardrail:  </w:t>
      </w:r>
      <w:r>
        <w:rPr>
          <w:rFonts w:ascii="Calibri" w:cs="Calibri" w:eastAsia="Calibri" w:hAnsi="Calibri"/>
          <w:color w:val="1A1A2E"/>
          <w:sz w:val="21"/>
          <w:szCs w:val="21"/>
        </w:rPr>
        <w:t xml:space="preserve">Record the date each account's statement was sent, skip accounts already sent this month, and let Odoo save at the end of the run instead of after every account.</w:t>
      </w:r>
    </w:p>
    <w:p>
      <w:pPr>
        <w:keepNext/>
        <w:spacing w:after="80" w:before="280"/>
      </w:pPr>
      <w:r>
        <w:rPr>
          <w:rFonts w:ascii="Calibri" w:cs="Calibri" w:eastAsia="Calibri" w:hAnsi="Calibri"/>
          <w:b/>
          <w:bCs/>
          <w:color w:val="1A1A2E"/>
          <w:sz w:val="26"/>
          <w:szCs w:val="26"/>
        </w:rPr>
        <w:t xml:space="preserve">F-06 · The overdue list ignores which company you are working in</w:t>
      </w:r>
    </w:p>
    <w:p>
      <w:pPr>
        <w:keepNext/>
        <w:spacing w:after="120"/>
      </w:pPr>
      <w:r>
        <w:rPr>
          <w:rFonts w:ascii="Calibri" w:cs="Calibri" w:eastAsia="Calibri" w:hAnsi="Calibri"/>
          <w:b/>
          <w:bCs/>
          <w:color w:val="595959"/>
          <w:sz w:val="17"/>
          <w:szCs w:val="17"/>
        </w:rPr>
        <w:t xml:space="preserve">Severity: </w:t>
      </w:r>
      <w:r>
        <w:rPr>
          <w:rFonts w:ascii="Calibri" w:cs="Calibri" w:eastAsia="Calibri" w:hAnsi="Calibri"/>
          <w:color w:val="E07B00"/>
          <w:sz w:val="17"/>
          <w:szCs w:val="17"/>
        </w:rPr>
        <w:t xml:space="preserve">Medium</w:t>
      </w:r>
      <w:r>
        <w:rPr>
          <w:rFonts w:ascii="Calibri" w:cs="Calibri" w:eastAsia="Calibri" w:hAnsi="Calibri"/>
          <w:b/>
          <w:bCs/>
          <w:color w:val="595959"/>
          <w:sz w:val="17"/>
          <w:szCs w:val="17"/>
        </w:rPr>
        <w:t xml:space="preserve">   Where you would notice it: </w:t>
      </w:r>
      <w:r>
        <w:rPr>
          <w:rFonts w:ascii="Calibri" w:cs="Calibri" w:eastAsia="Calibri" w:hAnsi="Calibri"/>
          <w:color w:val="E07B00"/>
          <w:sz w:val="17"/>
          <w:szCs w:val="17"/>
        </w:rPr>
        <w:t xml:space="preserve">Staff reports</w:t>
      </w:r>
      <w:r>
        <w:rPr>
          <w:rFonts w:ascii="Calibri" w:cs="Calibri" w:eastAsia="Calibri" w:hAnsi="Calibri"/>
          <w:b/>
          <w:bCs/>
          <w:color w:val="595959"/>
          <w:sz w:val="17"/>
          <w:szCs w:val="17"/>
        </w:rPr>
        <w:t xml:space="preserve">   Source: </w:t>
      </w:r>
      <w:r>
        <w:rPr>
          <w:rFonts w:ascii="Calibri" w:cs="Calibri" w:eastAsia="Calibri" w:hAnsi="Calibri"/>
          <w:color w:val="E07B00"/>
          <w:sz w:val="17"/>
          <w:szCs w:val="17"/>
        </w:rPr>
        <w:t xml:space="preserve">Nexa: odoo.sudo-bypasses-record-rules</w:t>
      </w:r>
    </w:p>
    <w:p>
      <w:pPr>
        <w:spacing w:after="140" w:line="276"/>
      </w:pPr>
      <w:r>
        <w:rPr>
          <w:rFonts w:ascii="Calibri" w:cs="Calibri" w:eastAsia="Calibri" w:hAnsi="Calibri"/>
          <w:b/>
          <w:bCs/>
          <w:color w:val="1A1A2E"/>
          <w:sz w:val="21"/>
          <w:szCs w:val="21"/>
        </w:rPr>
        <w:t xml:space="preserve">What I found:  </w:t>
      </w:r>
      <w:r>
        <w:rPr>
          <w:rFonts w:ascii="Calibri" w:cs="Calibri" w:eastAsia="Calibri" w:hAnsi="Calibri"/>
          <w:color w:val="1A1A2E"/>
          <w:sz w:val="21"/>
          <w:szCs w:val="21"/>
        </w:rPr>
        <w:t xml:space="preserve">The overdue page looks accounts up with Odoo's company filtering switched off. The module's own rule says staff see only their company's trade accounts, and this page steps around it.</w:t>
      </w:r>
    </w:p>
    <w:p>
      <w:pPr>
        <w:spacing w:after="140" w:line="276"/>
      </w:pPr>
      <w:r>
        <w:rPr>
          <w:rFonts w:ascii="Calibri" w:cs="Calibri" w:eastAsia="Calibri" w:hAnsi="Calibri"/>
          <w:b/>
          <w:bCs/>
          <w:color w:val="1A1A2E"/>
          <w:sz w:val="21"/>
          <w:szCs w:val="21"/>
        </w:rPr>
        <w:t xml:space="preserve">Why it matters:  </w:t>
      </w:r>
      <w:r>
        <w:rPr>
          <w:rFonts w:ascii="Calibri" w:cs="Calibri" w:eastAsia="Calibri" w:hAnsi="Calibri"/>
          <w:color w:val="1A1A2E"/>
          <w:sz w:val="21"/>
          <w:szCs w:val="21"/>
        </w:rPr>
        <w:t xml:space="preserve">Staff at the garden center see the trade counter's overdue accounts mixed in with their own, so the list and its totals are wrong for whichever company they are working in.</w:t>
      </w:r>
    </w:p>
    <w:p>
      <w:pPr>
        <w:spacing w:after="140" w:line="276"/>
      </w:pPr>
      <w:r>
        <w:rPr>
          <w:rFonts w:ascii="Calibri" w:cs="Calibri" w:eastAsia="Calibri" w:hAnsi="Calibri"/>
          <w:b/>
          <w:bCs/>
          <w:color w:val="1A1A2E"/>
          <w:sz w:val="21"/>
          <w:szCs w:val="21"/>
        </w:rPr>
        <w:t xml:space="preserve">Evidence:  </w:t>
      </w:r>
      <w:r>
        <w:rPr>
          <w:rFonts w:ascii="Courier New" w:cs="Courier New" w:eastAsia="Courier New" w:hAnsi="Courier New"/>
          <w:color w:val="1A1A2E"/>
          <w:sz w:val="19"/>
          <w:szCs w:val="19"/>
        </w:rPr>
        <w:t xml:space="preserve">controllers/statements.py:9</w:t>
      </w:r>
      <w:r>
        <w:rPr>
          <w:rFonts w:ascii="Calibri" w:cs="Calibri" w:eastAsia="Calibri" w:hAnsi="Calibri"/>
          <w:color w:val="1A1A2E"/>
          <w:sz w:val="21"/>
          <w:szCs w:val="21"/>
        </w:rPr>
        <w:t xml:space="preserve">, </w:t>
      </w:r>
      <w:r>
        <w:rPr>
          <w:rFonts w:ascii="Courier New" w:cs="Courier New" w:eastAsia="Courier New" w:hAnsi="Courier New"/>
          <w:color w:val="1A1A2E"/>
          <w:sz w:val="19"/>
          <w:szCs w:val="19"/>
        </w:rPr>
        <w:t xml:space="preserve">sudo().search(...)</w:t>
      </w:r>
      <w:r>
        <w:rPr>
          <w:rFonts w:ascii="Calibri" w:cs="Calibri" w:eastAsia="Calibri" w:hAnsi="Calibri"/>
          <w:color w:val="1A1A2E"/>
          <w:sz w:val="21"/>
          <w:szCs w:val="21"/>
        </w:rPr>
        <w:t xml:space="preserve"> on the trade account model, while </w:t>
      </w:r>
      <w:r>
        <w:rPr>
          <w:rFonts w:ascii="Courier New" w:cs="Courier New" w:eastAsia="Courier New" w:hAnsi="Courier New"/>
          <w:color w:val="1A1A2E"/>
          <w:sz w:val="19"/>
          <w:szCs w:val="19"/>
        </w:rPr>
        <w:t xml:space="preserve">security/trade_rules.xml</w:t>
      </w:r>
      <w:r>
        <w:rPr>
          <w:rFonts w:ascii="Calibri" w:cs="Calibri" w:eastAsia="Calibri" w:hAnsi="Calibri"/>
          <w:color w:val="1A1A2E"/>
          <w:sz w:val="21"/>
          <w:szCs w:val="21"/>
        </w:rPr>
        <w:t xml:space="preserve"> limits that model to the user's companies.</w:t>
      </w:r>
    </w:p>
    <w:p>
      <w:pPr>
        <w:spacing w:after="140" w:line="276"/>
      </w:pPr>
      <w:r>
        <w:rPr>
          <w:rFonts w:ascii="Calibri" w:cs="Calibri" w:eastAsia="Calibri" w:hAnsi="Calibri"/>
          <w:b/>
          <w:bCs/>
          <w:color w:val="1A1A2E"/>
          <w:sz w:val="21"/>
          <w:szCs w:val="21"/>
        </w:rPr>
        <w:t xml:space="preserve">Recommended guardrail:  </w:t>
      </w:r>
      <w:r>
        <w:rPr>
          <w:rFonts w:ascii="Calibri" w:cs="Calibri" w:eastAsia="Calibri" w:hAnsi="Calibri"/>
          <w:color w:val="1A1A2E"/>
          <w:sz w:val="21"/>
          <w:szCs w:val="21"/>
        </w:rPr>
        <w:t xml:space="preserve">Drop the </w:t>
      </w:r>
      <w:r>
        <w:rPr>
          <w:rFonts w:ascii="Courier New" w:cs="Courier New" w:eastAsia="Courier New" w:hAnsi="Courier New"/>
          <w:color w:val="1A1A2E"/>
          <w:sz w:val="19"/>
          <w:szCs w:val="19"/>
        </w:rPr>
        <w:t xml:space="preserve">sudo()</w:t>
      </w:r>
      <w:r>
        <w:rPr>
          <w:rFonts w:ascii="Calibri" w:cs="Calibri" w:eastAsia="Calibri" w:hAnsi="Calibri"/>
          <w:color w:val="1A1A2E"/>
          <w:sz w:val="21"/>
          <w:szCs w:val="21"/>
        </w:rPr>
        <w:t xml:space="preserve">. The page already requires a logged-in user, whose own access is exactly the list this page should show.</w:t>
      </w:r>
    </w:p>
    <w:p>
      <w:pPr>
        <w:keepNext/>
        <w:spacing w:after="80" w:before="280"/>
      </w:pPr>
      <w:r>
        <w:rPr>
          <w:rFonts w:ascii="Calibri" w:cs="Calibri" w:eastAsia="Calibri" w:hAnsi="Calibri"/>
          <w:b/>
          <w:bCs/>
          <w:color w:val="1A1A2E"/>
          <w:sz w:val="26"/>
          <w:szCs w:val="26"/>
        </w:rPr>
        <w:t xml:space="preserve">F-07 · A negative credit limit gets in through an import</w:t>
      </w:r>
    </w:p>
    <w:p>
      <w:pPr>
        <w:keepNext/>
        <w:spacing w:after="120"/>
      </w:pPr>
      <w:r>
        <w:rPr>
          <w:rFonts w:ascii="Calibri" w:cs="Calibri" w:eastAsia="Calibri" w:hAnsi="Calibri"/>
          <w:b/>
          <w:bCs/>
          <w:color w:val="595959"/>
          <w:sz w:val="17"/>
          <w:szCs w:val="17"/>
        </w:rPr>
        <w:t xml:space="preserve">Severity: </w:t>
      </w:r>
      <w:r>
        <w:rPr>
          <w:rFonts w:ascii="Calibri" w:cs="Calibri" w:eastAsia="Calibri" w:hAnsi="Calibri"/>
          <w:color w:val="E07B00"/>
          <w:sz w:val="17"/>
          <w:szCs w:val="17"/>
        </w:rPr>
        <w:t xml:space="preserve">Low</w:t>
      </w:r>
      <w:r>
        <w:rPr>
          <w:rFonts w:ascii="Calibri" w:cs="Calibri" w:eastAsia="Calibri" w:hAnsi="Calibri"/>
          <w:b/>
          <w:bCs/>
          <w:color w:val="595959"/>
          <w:sz w:val="17"/>
          <w:szCs w:val="17"/>
        </w:rPr>
        <w:t xml:space="preserve">   Where you would notice it: </w:t>
      </w:r>
      <w:r>
        <w:rPr>
          <w:rFonts w:ascii="Calibri" w:cs="Calibri" w:eastAsia="Calibri" w:hAnsi="Calibri"/>
          <w:color w:val="E07B00"/>
          <w:sz w:val="17"/>
          <w:szCs w:val="17"/>
        </w:rPr>
        <w:t xml:space="preserve">Credit control</w:t>
      </w:r>
      <w:r>
        <w:rPr>
          <w:rFonts w:ascii="Calibri" w:cs="Calibri" w:eastAsia="Calibri" w:hAnsi="Calibri"/>
          <w:b/>
          <w:bCs/>
          <w:color w:val="595959"/>
          <w:sz w:val="17"/>
          <w:szCs w:val="17"/>
        </w:rPr>
        <w:t xml:space="preserve">   Source: </w:t>
      </w:r>
      <w:r>
        <w:rPr>
          <w:rFonts w:ascii="Calibri" w:cs="Calibri" w:eastAsia="Calibri" w:hAnsi="Calibri"/>
          <w:color w:val="E07B00"/>
          <w:sz w:val="17"/>
          <w:szCs w:val="17"/>
        </w:rPr>
        <w:t xml:space="preserve">Found by reading</w:t>
      </w:r>
    </w:p>
    <w:p>
      <w:pPr>
        <w:spacing w:after="140" w:line="276"/>
      </w:pPr>
      <w:r>
        <w:rPr>
          <w:rFonts w:ascii="Calibri" w:cs="Calibri" w:eastAsia="Calibri" w:hAnsi="Calibri"/>
          <w:b/>
          <w:bCs/>
          <w:color w:val="1A1A2E"/>
          <w:sz w:val="21"/>
          <w:szCs w:val="21"/>
        </w:rPr>
        <w:t xml:space="preserve">What I found:  </w:t>
      </w:r>
      <w:r>
        <w:rPr>
          <w:rFonts w:ascii="Calibri" w:cs="Calibri" w:eastAsia="Calibri" w:hAnsi="Calibri"/>
          <w:color w:val="1A1A2E"/>
          <w:sz w:val="21"/>
          <w:szCs w:val="21"/>
        </w:rPr>
        <w:t xml:space="preserve">The only check on credit limits runs in the form, as a person types. Imports, the API and other code skip it.</w:t>
      </w:r>
    </w:p>
    <w:p>
      <w:pPr>
        <w:spacing w:after="140" w:line="276"/>
      </w:pPr>
      <w:r>
        <w:rPr>
          <w:rFonts w:ascii="Calibri" w:cs="Calibri" w:eastAsia="Calibri" w:hAnsi="Calibri"/>
          <w:b/>
          <w:bCs/>
          <w:color w:val="1A1A2E"/>
          <w:sz w:val="21"/>
          <w:szCs w:val="21"/>
        </w:rPr>
        <w:t xml:space="preserve">Why it matters:  </w:t>
      </w:r>
      <w:r>
        <w:rPr>
          <w:rFonts w:ascii="Calibri" w:cs="Calibri" w:eastAsia="Calibri" w:hAnsi="Calibri"/>
          <w:color w:val="1A1A2E"/>
          <w:sz w:val="21"/>
          <w:szCs w:val="21"/>
        </w:rPr>
        <w:t xml:space="preserve">A spreadsheet import with a stray minus sign saves without complaint, and whatever relies on that limit misbehaves.</w:t>
      </w:r>
    </w:p>
    <w:p>
      <w:pPr>
        <w:spacing w:after="140" w:line="276"/>
      </w:pPr>
      <w:r>
        <w:rPr>
          <w:rFonts w:ascii="Calibri" w:cs="Calibri" w:eastAsia="Calibri" w:hAnsi="Calibri"/>
          <w:b/>
          <w:bCs/>
          <w:color w:val="1A1A2E"/>
          <w:sz w:val="21"/>
          <w:szCs w:val="21"/>
        </w:rPr>
        <w:t xml:space="preserve">Evidence:  </w:t>
      </w:r>
      <w:r>
        <w:rPr>
          <w:rFonts w:ascii="Courier New" w:cs="Courier New" w:eastAsia="Courier New" w:hAnsi="Courier New"/>
          <w:color w:val="1A1A2E"/>
          <w:sz w:val="19"/>
          <w:szCs w:val="19"/>
        </w:rPr>
        <w:t xml:space="preserve">models/trade_account.py:31</w:t>
      </w:r>
      <w:r>
        <w:rPr>
          <w:rFonts w:ascii="Calibri" w:cs="Calibri" w:eastAsia="Calibri" w:hAnsi="Calibri"/>
          <w:color w:val="1A1A2E"/>
          <w:sz w:val="21"/>
          <w:szCs w:val="21"/>
        </w:rPr>
        <w:t xml:space="preserve">, an </w:t>
      </w:r>
      <w:r>
        <w:rPr>
          <w:rFonts w:ascii="Courier New" w:cs="Courier New" w:eastAsia="Courier New" w:hAnsi="Courier New"/>
          <w:color w:val="1A1A2E"/>
          <w:sz w:val="19"/>
          <w:szCs w:val="19"/>
        </w:rPr>
        <w:t xml:space="preserve">@api.onchange</w:t>
      </w:r>
      <w:r>
        <w:rPr>
          <w:rFonts w:ascii="Calibri" w:cs="Calibri" w:eastAsia="Calibri" w:hAnsi="Calibri"/>
          <w:color w:val="1A1A2E"/>
          <w:sz w:val="21"/>
          <w:szCs w:val="21"/>
        </w:rPr>
        <w:t xml:space="preserve"> that raises an error. Nexa's check for this stepped aside when a file declared any constraint, because a real one next to an onchange is usually the backstop. Here the only one guards the reference, and on Odoo 19 it does not exist (F-02). I changed that check the same day: a constraint now counts only when it covers the field the onchange checks, and never when Odoo 19 ignores it. A scan today flags this too.</w:t>
      </w:r>
    </w:p>
    <w:p>
      <w:pPr>
        <w:spacing w:after="140" w:line="276"/>
      </w:pPr>
      <w:r>
        <w:rPr>
          <w:rFonts w:ascii="Calibri" w:cs="Calibri" w:eastAsia="Calibri" w:hAnsi="Calibri"/>
          <w:b/>
          <w:bCs/>
          <w:color w:val="1A1A2E"/>
          <w:sz w:val="21"/>
          <w:szCs w:val="21"/>
        </w:rPr>
        <w:t xml:space="preserve">Recommended guardrail:  </w:t>
      </w:r>
      <w:r>
        <w:rPr>
          <w:rFonts w:ascii="Calibri" w:cs="Calibri" w:eastAsia="Calibri" w:hAnsi="Calibri"/>
          <w:color w:val="1A1A2E"/>
          <w:sz w:val="21"/>
          <w:szCs w:val="21"/>
        </w:rPr>
        <w:t xml:space="preserve">Move the check into </w:t>
      </w:r>
      <w:r>
        <w:rPr>
          <w:rFonts w:ascii="Courier New" w:cs="Courier New" w:eastAsia="Courier New" w:hAnsi="Courier New"/>
          <w:color w:val="1A1A2E"/>
          <w:sz w:val="19"/>
          <w:szCs w:val="19"/>
        </w:rPr>
        <w:t xml:space="preserve">@api.constrains("credit_limit")</w:t>
      </w:r>
      <w:r>
        <w:rPr>
          <w:rFonts w:ascii="Calibri" w:cs="Calibri" w:eastAsia="Calibri" w:hAnsi="Calibri"/>
          <w:color w:val="1A1A2E"/>
          <w:sz w:val="21"/>
          <w:szCs w:val="21"/>
        </w:rPr>
        <w:t xml:space="preserve">, which runs on every save, however the value arrives.</w:t>
      </w:r>
    </w:p>
    <w:p>
      <w:pPr>
        <w:keepNext/>
        <w:spacing w:after="80" w:before="280"/>
      </w:pPr>
      <w:r>
        <w:rPr>
          <w:rFonts w:ascii="Calibri" w:cs="Calibri" w:eastAsia="Calibri" w:hAnsi="Calibri"/>
          <w:b/>
          <w:bCs/>
          <w:color w:val="1A1A2E"/>
          <w:sz w:val="26"/>
          <w:szCs w:val="26"/>
        </w:rPr>
        <w:t xml:space="preserve">F-08 · "Settled" can read false over a fraction of a penny</w:t>
      </w:r>
    </w:p>
    <w:p>
      <w:pPr>
        <w:keepNext/>
        <w:spacing w:after="120"/>
      </w:pPr>
      <w:r>
        <w:rPr>
          <w:rFonts w:ascii="Calibri" w:cs="Calibri" w:eastAsia="Calibri" w:hAnsi="Calibri"/>
          <w:b/>
          <w:bCs/>
          <w:color w:val="595959"/>
          <w:sz w:val="17"/>
          <w:szCs w:val="17"/>
        </w:rPr>
        <w:t xml:space="preserve">Severity: </w:t>
      </w:r>
      <w:r>
        <w:rPr>
          <w:rFonts w:ascii="Calibri" w:cs="Calibri" w:eastAsia="Calibri" w:hAnsi="Calibri"/>
          <w:color w:val="E07B00"/>
          <w:sz w:val="17"/>
          <w:szCs w:val="17"/>
        </w:rPr>
        <w:t xml:space="preserve">Low</w:t>
      </w:r>
      <w:r>
        <w:rPr>
          <w:rFonts w:ascii="Calibri" w:cs="Calibri" w:eastAsia="Calibri" w:hAnsi="Calibri"/>
          <w:b/>
          <w:bCs/>
          <w:color w:val="595959"/>
          <w:sz w:val="17"/>
          <w:szCs w:val="17"/>
        </w:rPr>
        <w:t xml:space="preserve">   Where you would notice it: </w:t>
      </w:r>
      <w:r>
        <w:rPr>
          <w:rFonts w:ascii="Calibri" w:cs="Calibri" w:eastAsia="Calibri" w:hAnsi="Calibri"/>
          <w:color w:val="E07B00"/>
          <w:sz w:val="17"/>
          <w:szCs w:val="17"/>
        </w:rPr>
        <w:t xml:space="preserve">Account status</w:t>
      </w:r>
      <w:r>
        <w:rPr>
          <w:rFonts w:ascii="Calibri" w:cs="Calibri" w:eastAsia="Calibri" w:hAnsi="Calibri"/>
          <w:b/>
          <w:bCs/>
          <w:color w:val="595959"/>
          <w:sz w:val="17"/>
          <w:szCs w:val="17"/>
        </w:rPr>
        <w:t xml:space="preserve">   Source: </w:t>
      </w:r>
      <w:r>
        <w:rPr>
          <w:rFonts w:ascii="Calibri" w:cs="Calibri" w:eastAsia="Calibri" w:hAnsi="Calibri"/>
          <w:color w:val="E07B00"/>
          <w:sz w:val="17"/>
          <w:szCs w:val="17"/>
        </w:rPr>
        <w:t xml:space="preserve">Nexa: odoo.float-comparison-needs-float-utils</w:t>
      </w:r>
    </w:p>
    <w:p>
      <w:pPr>
        <w:spacing w:after="140" w:line="276"/>
      </w:pPr>
      <w:r>
        <w:rPr>
          <w:rFonts w:ascii="Calibri" w:cs="Calibri" w:eastAsia="Calibri" w:hAnsi="Calibri"/>
          <w:b/>
          <w:bCs/>
          <w:color w:val="1A1A2E"/>
          <w:sz w:val="21"/>
          <w:szCs w:val="21"/>
        </w:rPr>
        <w:t xml:space="preserve">What I found:  </w:t>
      </w:r>
      <w:r>
        <w:rPr>
          <w:rFonts w:ascii="Calibri" w:cs="Calibri" w:eastAsia="Calibri" w:hAnsi="Calibri"/>
          <w:color w:val="1A1A2E"/>
          <w:sz w:val="21"/>
          <w:szCs w:val="21"/>
        </w:rPr>
        <w:t xml:space="preserve">An account counts as settled only when its outstanding total is exactly zero. Adding up decimal amounts in a computer can leave a remainder far smaller than a penny.</w:t>
      </w:r>
    </w:p>
    <w:p>
      <w:pPr>
        <w:spacing w:after="140" w:line="276"/>
      </w:pPr>
      <w:r>
        <w:rPr>
          <w:rFonts w:ascii="Calibri" w:cs="Calibri" w:eastAsia="Calibri" w:hAnsi="Calibri"/>
          <w:b/>
          <w:bCs/>
          <w:color w:val="1A1A2E"/>
          <w:sz w:val="21"/>
          <w:szCs w:val="21"/>
        </w:rPr>
        <w:t xml:space="preserve">Why it matters:  </w:t>
      </w:r>
      <w:r>
        <w:rPr>
          <w:rFonts w:ascii="Calibri" w:cs="Calibri" w:eastAsia="Calibri" w:hAnsi="Calibri"/>
          <w:color w:val="1A1A2E"/>
          <w:sz w:val="21"/>
          <w:szCs w:val="21"/>
        </w:rPr>
        <w:t xml:space="preserve">A fully paid account can show as not settled, which puts it in front of someone to chase for nothing.</w:t>
      </w:r>
    </w:p>
    <w:p>
      <w:pPr>
        <w:spacing w:after="140" w:line="276"/>
      </w:pPr>
      <w:r>
        <w:rPr>
          <w:rFonts w:ascii="Calibri" w:cs="Calibri" w:eastAsia="Calibri" w:hAnsi="Calibri"/>
          <w:b/>
          <w:bCs/>
          <w:color w:val="1A1A2E"/>
          <w:sz w:val="21"/>
          <w:szCs w:val="21"/>
        </w:rPr>
        <w:t xml:space="preserve">Evidence:  </w:t>
      </w:r>
      <w:r>
        <w:rPr>
          <w:rFonts w:ascii="Courier New" w:cs="Courier New" w:eastAsia="Courier New" w:hAnsi="Courier New"/>
          <w:color w:val="1A1A2E"/>
          <w:sz w:val="19"/>
          <w:szCs w:val="19"/>
        </w:rPr>
        <w:t xml:space="preserve">models/trade_account.py:29</w:t>
      </w:r>
      <w:r>
        <w:rPr>
          <w:rFonts w:ascii="Calibri" w:cs="Calibri" w:eastAsia="Calibri" w:hAnsi="Calibri"/>
          <w:color w:val="1A1A2E"/>
          <w:sz w:val="21"/>
          <w:szCs w:val="21"/>
        </w:rPr>
        <w:t xml:space="preserve">, </w:t>
      </w:r>
      <w:r>
        <w:rPr>
          <w:rFonts w:ascii="Courier New" w:cs="Courier New" w:eastAsia="Courier New" w:hAnsi="Courier New"/>
          <w:color w:val="1A1A2E"/>
          <w:sz w:val="19"/>
          <w:szCs w:val="19"/>
        </w:rPr>
        <w:t xml:space="preserve">outstanding_total == 0.0</w:t>
      </w:r>
      <w:r>
        <w:rPr>
          <w:rFonts w:ascii="Calibri" w:cs="Calibri" w:eastAsia="Calibri" w:hAnsi="Calibri"/>
          <w:color w:val="1A1A2E"/>
          <w:sz w:val="21"/>
          <w:szCs w:val="21"/>
        </w:rPr>
        <w:t xml:space="preserve">.</w:t>
      </w:r>
    </w:p>
    <w:p>
      <w:pPr>
        <w:spacing w:after="140" w:line="276"/>
      </w:pPr>
      <w:r>
        <w:rPr>
          <w:rFonts w:ascii="Calibri" w:cs="Calibri" w:eastAsia="Calibri" w:hAnsi="Calibri"/>
          <w:b/>
          <w:bCs/>
          <w:color w:val="1A1A2E"/>
          <w:sz w:val="21"/>
          <w:szCs w:val="21"/>
        </w:rPr>
        <w:t xml:space="preserve">Recommended guardrail:  </w:t>
      </w:r>
      <w:r>
        <w:rPr>
          <w:rFonts w:ascii="Calibri" w:cs="Calibri" w:eastAsia="Calibri" w:hAnsi="Calibri"/>
          <w:color w:val="1A1A2E"/>
          <w:sz w:val="21"/>
          <w:szCs w:val="21"/>
        </w:rPr>
        <w:t xml:space="preserve">Compare with </w:t>
      </w:r>
      <w:r>
        <w:rPr>
          <w:rFonts w:ascii="Courier New" w:cs="Courier New" w:eastAsia="Courier New" w:hAnsi="Courier New"/>
          <w:color w:val="1A1A2E"/>
          <w:sz w:val="19"/>
          <w:szCs w:val="19"/>
        </w:rPr>
        <w:t xml:space="preserve">float_is_zero</w:t>
      </w:r>
      <w:r>
        <w:rPr>
          <w:rFonts w:ascii="Calibri" w:cs="Calibri" w:eastAsia="Calibri" w:hAnsi="Calibri"/>
          <w:color w:val="1A1A2E"/>
          <w:sz w:val="21"/>
          <w:szCs w:val="21"/>
        </w:rPr>
        <w:t xml:space="preserve"> at the currency's precision, and make the total a Monetary field so it rounds the way money does.</w:t>
      </w:r>
    </w:p>
    <w:p>
      <w:pPr>
        <w:pBdr>
          <w:bottom w:val="single" w:color="E07B00" w:sz="8" w:space="8"/>
        </w:pBdr>
        <w:spacing w:after="200" w:before="360"/>
      </w:pPr>
      <w:r>
        <w:rPr>
          <w:rFonts w:ascii="Calibri" w:cs="Calibri" w:eastAsia="Calibri" w:hAnsi="Calibri"/>
          <w:b/>
          <w:bCs/>
          <w:color w:val="1A1A2E"/>
          <w:sz w:val="30"/>
          <w:szCs w:val="30"/>
        </w:rPr>
        <w:t xml:space="preserve">4 · What I would fix first</w:t>
      </w:r>
    </w:p>
    <w:p>
      <w:pPr>
        <w:spacing w:after="140" w:line="276"/>
      </w:pPr>
      <w:r>
        <w:rPr>
          <w:rFonts w:ascii="Calibri" w:cs="Calibri" w:eastAsia="Calibri" w:hAnsi="Calibri"/>
          <w:color w:val="1A1A2E"/>
          <w:sz w:val="21"/>
          <w:szCs w:val="21"/>
        </w:rPr>
        <w:t xml:space="preserve">Ranked into an order, so you can act on it rather than drown in it. Most of these are small changes.</w:t>
      </w:r>
    </w:p>
    <w:p>
      <w:pPr>
        <w:pStyle w:val="ListParagraph"/>
        <w:numPr>
          <w:ilvl w:val="0"/>
          <w:numId w:val="2"/>
        </w:numPr>
        <w:spacing w:after="100" w:line="276"/>
      </w:pPr>
      <w:r>
        <w:rPr>
          <w:rFonts w:ascii="Calibri" w:cs="Calibri" w:eastAsia="Calibri" w:hAnsi="Calibri"/>
          <w:b/>
          <w:bCs/>
          <w:color w:val="1A1A2E"/>
          <w:sz w:val="21"/>
          <w:szCs w:val="21"/>
        </w:rPr>
        <w:t xml:space="preserve">First: </w:t>
      </w:r>
      <w:r>
        <w:rPr>
          <w:rFonts w:ascii="Calibri" w:cs="Calibri" w:eastAsia="Calibri" w:hAnsi="Calibri"/>
          <w:color w:val="1A1A2E"/>
          <w:sz w:val="21"/>
          <w:szCs w:val="21"/>
        </w:rPr>
        <w:t xml:space="preserve">F-01 and F-02, the two findings your landscapers feel. F-02 needs the duplicates merged before the rule can return, so it is the one to schedule. Either is a good First Fix at £450.</w:t>
      </w:r>
    </w:p>
    <w:p>
      <w:pPr>
        <w:pStyle w:val="ListParagraph"/>
        <w:numPr>
          <w:ilvl w:val="0"/>
          <w:numId w:val="2"/>
        </w:numPr>
        <w:spacing w:after="100" w:line="276"/>
      </w:pPr>
      <w:r>
        <w:rPr>
          <w:rFonts w:ascii="Calibri" w:cs="Calibri" w:eastAsia="Calibri" w:hAnsi="Calibri"/>
          <w:b/>
          <w:bCs/>
          <w:color w:val="1A1A2E"/>
          <w:sz w:val="21"/>
          <w:szCs w:val="21"/>
        </w:rPr>
        <w:t xml:space="preserve">Next, in the same update: </w:t>
      </w:r>
      <w:r>
        <w:rPr>
          <w:rFonts w:ascii="Calibri" w:cs="Calibri" w:eastAsia="Calibri" w:hAnsi="Calibri"/>
          <w:color w:val="1A1A2E"/>
          <w:sz w:val="21"/>
          <w:szCs w:val="21"/>
        </w:rPr>
        <w:t xml:space="preserve">F-03 and F-04. One small change to the data files, and it stops the next update from undoing your settings.</w:t>
      </w:r>
    </w:p>
    <w:p>
      <w:pPr>
        <w:pStyle w:val="ListParagraph"/>
        <w:numPr>
          <w:ilvl w:val="0"/>
          <w:numId w:val="2"/>
        </w:numPr>
        <w:spacing w:after="100" w:line="276"/>
      </w:pPr>
      <w:r>
        <w:rPr>
          <w:rFonts w:ascii="Calibri" w:cs="Calibri" w:eastAsia="Calibri" w:hAnsi="Calibri"/>
          <w:b/>
          <w:bCs/>
          <w:color w:val="1A1A2E"/>
          <w:sz w:val="21"/>
          <w:szCs w:val="21"/>
        </w:rPr>
        <w:t xml:space="preserve">Then: </w:t>
      </w:r>
      <w:r>
        <w:rPr>
          <w:rFonts w:ascii="Calibri" w:cs="Calibri" w:eastAsia="Calibri" w:hAnsi="Calibri"/>
          <w:color w:val="1A1A2E"/>
          <w:sz w:val="21"/>
          <w:szCs w:val="21"/>
        </w:rPr>
        <w:t xml:space="preserve">F-05 and F-06, before the next statement run and the next time the overdue list is used for chasing.</w:t>
      </w:r>
    </w:p>
    <w:p>
      <w:pPr>
        <w:pStyle w:val="ListParagraph"/>
        <w:numPr>
          <w:ilvl w:val="0"/>
          <w:numId w:val="2"/>
        </w:numPr>
        <w:spacing w:after="100" w:line="276"/>
      </w:pPr>
      <w:r>
        <w:rPr>
          <w:rFonts w:ascii="Calibri" w:cs="Calibri" w:eastAsia="Calibri" w:hAnsi="Calibri"/>
          <w:b/>
          <w:bCs/>
          <w:color w:val="1A1A2E"/>
          <w:sz w:val="21"/>
          <w:szCs w:val="21"/>
        </w:rPr>
        <w:t xml:space="preserve">When convenient: </w:t>
      </w:r>
      <w:r>
        <w:rPr>
          <w:rFonts w:ascii="Calibri" w:cs="Calibri" w:eastAsia="Calibri" w:hAnsi="Calibri"/>
          <w:color w:val="1A1A2E"/>
          <w:sz w:val="21"/>
          <w:szCs w:val="21"/>
        </w:rPr>
        <w:t xml:space="preserve">F-07 and F-08. Real, but they cost clarity rather than money.</w:t>
      </w:r>
    </w:p>
    <w:p>
      <w:pPr>
        <w:pBdr>
          <w:bottom w:val="single" w:color="E07B00" w:sz="8" w:space="8"/>
        </w:pBdr>
        <w:spacing w:after="200" w:before="360"/>
      </w:pPr>
      <w:r>
        <w:rPr>
          <w:rFonts w:ascii="Calibri" w:cs="Calibri" w:eastAsia="Calibri" w:hAnsi="Calibri"/>
          <w:b/>
          <w:bCs/>
          <w:color w:val="1A1A2E"/>
          <w:sz w:val="30"/>
          <w:szCs w:val="30"/>
        </w:rPr>
        <w:t xml:space="preserve">5 · What you receive</w:t>
      </w:r>
    </w:p>
    <w:p>
      <w:pPr>
        <w:pStyle w:val="ListParagraph"/>
        <w:numPr>
          <w:ilvl w:val="0"/>
          <w:numId w:val="2"/>
        </w:numPr>
        <w:spacing w:after="100" w:line="276"/>
      </w:pPr>
      <w:r>
        <w:rPr>
          <w:rFonts w:ascii="Calibri" w:cs="Calibri" w:eastAsia="Calibri" w:hAnsi="Calibri"/>
          <w:b/>
          <w:bCs/>
          <w:color w:val="1A1A2E"/>
          <w:sz w:val="21"/>
          <w:szCs w:val="21"/>
        </w:rPr>
        <w:t xml:space="preserve">This report, </w:t>
      </w:r>
      <w:r>
        <w:rPr>
          <w:rFonts w:ascii="Calibri" w:cs="Calibri" w:eastAsia="Calibri" w:hAnsi="Calibri"/>
          <w:color w:val="1A1A2E"/>
          <w:sz w:val="21"/>
          <w:szCs w:val="21"/>
        </w:rPr>
        <w:t xml:space="preserve">with every finding, its evidence and its guardrail, written so whoever looks after your Odoo can act on it without me.</w:t>
      </w:r>
    </w:p>
    <w:p>
      <w:pPr>
        <w:pStyle w:val="ListParagraph"/>
        <w:numPr>
          <w:ilvl w:val="0"/>
          <w:numId w:val="2"/>
        </w:numPr>
        <w:spacing w:after="100" w:line="276"/>
      </w:pPr>
      <w:r>
        <w:rPr>
          <w:rFonts w:ascii="Calibri" w:cs="Calibri" w:eastAsia="Calibri" w:hAnsi="Calibri"/>
          <w:b/>
          <w:bCs/>
          <w:color w:val="1A1A2E"/>
          <w:sz w:val="21"/>
          <w:szCs w:val="21"/>
        </w:rPr>
        <w:t xml:space="preserve">The scan record: </w:t>
      </w:r>
      <w:r>
        <w:rPr>
          <w:rFonts w:ascii="Calibri" w:cs="Calibri" w:eastAsia="Calibri" w:hAnsi="Calibri"/>
          <w:color w:val="1A1A2E"/>
          <w:sz w:val="21"/>
          <w:szCs w:val="21"/>
        </w:rPr>
        <w:t xml:space="preserve">what Nexa reported and what reading each one decided, below.</w:t>
      </w:r>
    </w:p>
    <w:p>
      <w:pPr>
        <w:pStyle w:val="ListParagraph"/>
        <w:numPr>
          <w:ilvl w:val="0"/>
          <w:numId w:val="2"/>
        </w:numPr>
        <w:spacing w:after="100" w:line="276"/>
      </w:pPr>
      <w:r>
        <w:rPr>
          <w:rFonts w:ascii="Calibri" w:cs="Calibri" w:eastAsia="Calibri" w:hAnsi="Calibri"/>
          <w:b/>
          <w:bCs/>
          <w:color w:val="1A1A2E"/>
          <w:sz w:val="21"/>
          <w:szCs w:val="21"/>
        </w:rPr>
        <w:t xml:space="preserve">One follow-up email </w:t>
      </w:r>
      <w:r>
        <w:rPr>
          <w:rFonts w:ascii="Calibri" w:cs="Calibri" w:eastAsia="Calibri" w:hAnsi="Calibri"/>
          <w:color w:val="1A1A2E"/>
          <w:sz w:val="21"/>
          <w:szCs w:val="21"/>
        </w:rPr>
        <w:t xml:space="preserve">on anything in the findings you want explained.</w:t>
      </w:r>
    </w:p>
    <w:p>
      <w:pPr>
        <w:keepNext/>
        <w:spacing w:after="120" w:before="280"/>
      </w:pPr>
      <w:r>
        <w:rPr>
          <w:rFonts w:ascii="Calibri" w:cs="Calibri" w:eastAsia="Calibri" w:hAnsi="Calibri"/>
          <w:b/>
          <w:bCs/>
          <w:color w:val="1A1A2E"/>
          <w:sz w:val="24"/>
          <w:szCs w:val="24"/>
        </w:rPr>
        <w:t xml:space="preserve">Scan record</w:t>
      </w:r>
    </w:p>
    <w:p>
      <w:pPr>
        <w:spacing w:after="140" w:line="276"/>
      </w:pPr>
      <w:r>
        <w:rPr>
          <w:rFonts w:ascii="Calibri" w:cs="Calibri" w:eastAsia="Calibri" w:hAnsi="Calibri"/>
          <w:color w:val="1A1A2E"/>
          <w:sz w:val="21"/>
          <w:szCs w:val="21"/>
        </w:rPr>
        <w:t xml:space="preserve">Nexa v0.1.0 at commit 847fcae, 28 rules, run as </w:t>
      </w:r>
      <w:r>
        <w:rPr>
          <w:rFonts w:ascii="Courier New" w:cs="Courier New" w:eastAsia="Courier New" w:hAnsi="Courier New"/>
          <w:color w:val="1A1A2E"/>
          <w:sz w:val="19"/>
          <w:szCs w:val="19"/>
        </w:rPr>
        <w:t xml:space="preserve">nexa fieldtest bramblewick_trade</w:t>
      </w:r>
      <w:r>
        <w:rPr>
          <w:rFonts w:ascii="Calibri" w:cs="Calibri" w:eastAsia="Calibri" w:hAnsi="Calibri"/>
          <w:color w:val="1A1A2E"/>
          <w:sz w:val="21"/>
          <w:szCs w:val="21"/>
        </w:rPr>
        <w:t xml:space="preserve"> with no model. It reported four findings and two advisory ones in 6 Python files (75 lines) and 3 XML data files. All six were read and confirmed. Twenty-two checkers never fired, which says only that the module contained nothing they look for.</w:t>
      </w:r>
    </w:p>
    <w:tbl>
      <w:tblPr>
        <w:tblW w:type="dxa" w:w="9648"/>
        <w:tblBorders>
          <w:top w:val="single" w:color="BFBFBF" w:sz="4"/>
          <w:left w:val="single" w:color="BFBFBF" w:sz="4"/>
          <w:bottom w:val="single" w:color="BFBFBF" w:sz="4"/>
          <w:right w:val="single" w:color="BFBFBF" w:sz="4"/>
          <w:insideH w:val="single" w:color="BFBFBF" w:sz="4"/>
          <w:insideV w:val="single" w:color="BFBFBF" w:sz="4"/>
        </w:tblBorders>
      </w:tblPr>
      <w:tblGrid>
        <w:gridCol w:w="4000"/>
        <w:gridCol w:w="2250"/>
        <w:gridCol w:w="1450"/>
        <w:gridCol w:w="1948"/>
      </w:tblGrid>
      <w:tr>
        <w:trPr>
          <w:tblHeader/>
        </w:trPr>
        <w:tc>
          <w:tcPr>
            <w:tcW w:type="dxa" w:w="4000"/>
            <w:shd w:fill="1A1A2E" w:color="auto" w:val="clear"/>
            <w:tcMar>
              <w:top w:type="dxa" w:w="80"/>
              <w:left w:type="dxa" w:w="120"/>
              <w:bottom w:type="dxa" w:w="80"/>
              <w:right w:type="dxa" w:w="120"/>
            </w:tcMar>
          </w:tcPr>
          <w:p>
            <w:r>
              <w:rPr>
                <w:rFonts w:ascii="Calibri" w:cs="Calibri" w:eastAsia="Calibri" w:hAnsi="Calibri"/>
                <w:b/>
                <w:bCs/>
                <w:color w:val="FFFFFF"/>
                <w:sz w:val="19"/>
                <w:szCs w:val="19"/>
              </w:rPr>
              <w:t xml:space="preserve">Rule (odoo.)</w:t>
            </w:r>
          </w:p>
        </w:tc>
        <w:tc>
          <w:tcPr>
            <w:tcW w:type="dxa" w:w="2250"/>
            <w:shd w:fill="1A1A2E" w:color="auto" w:val="clear"/>
            <w:tcMar>
              <w:top w:type="dxa" w:w="80"/>
              <w:left w:type="dxa" w:w="120"/>
              <w:bottom w:type="dxa" w:w="80"/>
              <w:right w:type="dxa" w:w="120"/>
            </w:tcMar>
          </w:tcPr>
          <w:p>
            <w:r>
              <w:rPr>
                <w:rFonts w:ascii="Calibri" w:cs="Calibri" w:eastAsia="Calibri" w:hAnsi="Calibri"/>
                <w:b/>
                <w:bCs/>
                <w:color w:val="FFFFFF"/>
                <w:sz w:val="19"/>
                <w:szCs w:val="19"/>
              </w:rPr>
              <w:t xml:space="preserve">Where</w:t>
            </w:r>
          </w:p>
        </w:tc>
        <w:tc>
          <w:tcPr>
            <w:tcW w:type="dxa" w:w="1450"/>
            <w:shd w:fill="1A1A2E" w:color="auto" w:val="clear"/>
            <w:tcMar>
              <w:top w:type="dxa" w:w="80"/>
              <w:left w:type="dxa" w:w="120"/>
              <w:bottom w:type="dxa" w:w="80"/>
              <w:right w:type="dxa" w:w="120"/>
            </w:tcMar>
          </w:tcPr>
          <w:p>
            <w:r>
              <w:rPr>
                <w:rFonts w:ascii="Calibri" w:cs="Calibri" w:eastAsia="Calibri" w:hAnsi="Calibri"/>
                <w:b/>
                <w:bCs/>
                <w:color w:val="FFFFFF"/>
                <w:sz w:val="19"/>
                <w:szCs w:val="19"/>
              </w:rPr>
              <w:t xml:space="preserve">Scan grade</w:t>
            </w:r>
          </w:p>
        </w:tc>
        <w:tc>
          <w:tcPr>
            <w:tcW w:type="dxa" w:w="1948"/>
            <w:shd w:fill="1A1A2E" w:color="auto" w:val="clear"/>
            <w:tcMar>
              <w:top w:type="dxa" w:w="80"/>
              <w:left w:type="dxa" w:w="120"/>
              <w:bottom w:type="dxa" w:w="80"/>
              <w:right w:type="dxa" w:w="120"/>
            </w:tcMar>
          </w:tcPr>
          <w:p>
            <w:r>
              <w:rPr>
                <w:rFonts w:ascii="Calibri" w:cs="Calibri" w:eastAsia="Calibri" w:hAnsi="Calibri"/>
                <w:b/>
                <w:bCs/>
                <w:color w:val="FFFFFF"/>
                <w:sz w:val="19"/>
                <w:szCs w:val="19"/>
              </w:rPr>
              <w:t xml:space="preserve">After reading</w:t>
            </w:r>
          </w:p>
        </w:tc>
      </w:tr>
      <w:tr>
        <w:trPr>
          <w:cantSplit/>
        </w:trPr>
        <w:tc>
          <w:tcPr>
            <w:tcW w:type="dxa" w:w="4000"/>
            <w:tcMar>
              <w:top w:type="dxa" w:w="80"/>
              <w:left w:type="dxa" w:w="120"/>
              <w:bottom w:type="dxa" w:w="80"/>
              <w:right w:type="dxa" w:w="120"/>
            </w:tcMar>
          </w:tcPr>
          <w:p>
            <w:r>
              <w:rPr>
                <w:rFonts w:ascii="Courier New" w:cs="Courier New" w:eastAsia="Courier New" w:hAnsi="Courier New"/>
                <w:color w:val="1A1A2E"/>
                <w:sz w:val="19"/>
                <w:szCs w:val="19"/>
              </w:rPr>
              <w:t xml:space="preserve">sql-constraints-are-ignored-from-19</w:t>
            </w:r>
          </w:p>
        </w:tc>
        <w:tc>
          <w:tcPr>
            <w:tcW w:type="dxa" w:w="2250"/>
            <w:tcMar>
              <w:top w:type="dxa" w:w="80"/>
              <w:left w:type="dxa" w:w="120"/>
              <w:bottom w:type="dxa" w:w="80"/>
              <w:right w:type="dxa" w:w="120"/>
            </w:tcMar>
          </w:tcPr>
          <w:p>
            <w:r>
              <w:rPr>
                <w:rFonts w:ascii="Calibri" w:cs="Calibri" w:eastAsia="Calibri" w:hAnsi="Calibri"/>
                <w:color w:val="1A1A2E"/>
                <w:sz w:val="19"/>
                <w:szCs w:val="19"/>
              </w:rPr>
              <w:t xml:space="preserve">models/trade_account.py:18</w:t>
            </w:r>
          </w:p>
        </w:tc>
        <w:tc>
          <w:tcPr>
            <w:tcW w:type="dxa" w:w="1450"/>
            <w:tcMar>
              <w:top w:type="dxa" w:w="80"/>
              <w:left w:type="dxa" w:w="120"/>
              <w:bottom w:type="dxa" w:w="80"/>
              <w:right w:type="dxa" w:w="120"/>
            </w:tcMar>
          </w:tcPr>
          <w:p>
            <w:r>
              <w:rPr>
                <w:rFonts w:ascii="Calibri" w:cs="Calibri" w:eastAsia="Calibri" w:hAnsi="Calibri"/>
                <w:color w:val="1A1A2E"/>
                <w:sz w:val="19"/>
                <w:szCs w:val="19"/>
              </w:rPr>
              <w:t xml:space="preserve">defect</w:t>
            </w:r>
          </w:p>
        </w:tc>
        <w:tc>
          <w:tcPr>
            <w:tcW w:type="dxa" w:w="1948"/>
            <w:tcMar>
              <w:top w:type="dxa" w:w="80"/>
              <w:left w:type="dxa" w:w="120"/>
              <w:bottom w:type="dxa" w:w="80"/>
              <w:right w:type="dxa" w:w="120"/>
            </w:tcMar>
          </w:tcPr>
          <w:p>
            <w:r>
              <w:rPr>
                <w:rFonts w:ascii="Calibri" w:cs="Calibri" w:eastAsia="Calibri" w:hAnsi="Calibri"/>
                <w:color w:val="1A1A2E"/>
                <w:sz w:val="19"/>
                <w:szCs w:val="19"/>
              </w:rPr>
              <w:t xml:space="preserve">Confirmed: F-02</w:t>
            </w:r>
          </w:p>
        </w:tc>
      </w:tr>
      <w:tr>
        <w:trPr>
          <w:cantSplit/>
        </w:trPr>
        <w:tc>
          <w:tcPr>
            <w:tcW w:type="dxa" w:w="4000"/>
            <w:tcMar>
              <w:top w:type="dxa" w:w="80"/>
              <w:left w:type="dxa" w:w="120"/>
              <w:bottom w:type="dxa" w:w="80"/>
              <w:right w:type="dxa" w:w="120"/>
            </w:tcMar>
          </w:tcPr>
          <w:p>
            <w:r>
              <w:rPr>
                <w:rFonts w:ascii="Courier New" w:cs="Courier New" w:eastAsia="Courier New" w:hAnsi="Courier New"/>
                <w:color w:val="1A1A2E"/>
                <w:sz w:val="19"/>
                <w:szCs w:val="19"/>
              </w:rPr>
              <w:t xml:space="preserve">float-comparison-needs-float-utils</w:t>
            </w:r>
          </w:p>
        </w:tc>
        <w:tc>
          <w:tcPr>
            <w:tcW w:type="dxa" w:w="2250"/>
            <w:tcMar>
              <w:top w:type="dxa" w:w="80"/>
              <w:left w:type="dxa" w:w="120"/>
              <w:bottom w:type="dxa" w:w="80"/>
              <w:right w:type="dxa" w:w="120"/>
            </w:tcMar>
          </w:tcPr>
          <w:p>
            <w:r>
              <w:rPr>
                <w:rFonts w:ascii="Calibri" w:cs="Calibri" w:eastAsia="Calibri" w:hAnsi="Calibri"/>
                <w:color w:val="1A1A2E"/>
                <w:sz w:val="19"/>
                <w:szCs w:val="19"/>
              </w:rPr>
              <w:t xml:space="preserve">models/trade_account.py:29</w:t>
            </w:r>
          </w:p>
        </w:tc>
        <w:tc>
          <w:tcPr>
            <w:tcW w:type="dxa" w:w="1450"/>
            <w:tcMar>
              <w:top w:type="dxa" w:w="80"/>
              <w:left w:type="dxa" w:w="120"/>
              <w:bottom w:type="dxa" w:w="80"/>
              <w:right w:type="dxa" w:w="120"/>
            </w:tcMar>
          </w:tcPr>
          <w:p>
            <w:r>
              <w:rPr>
                <w:rFonts w:ascii="Calibri" w:cs="Calibri" w:eastAsia="Calibri" w:hAnsi="Calibri"/>
                <w:color w:val="1A1A2E"/>
                <w:sz w:val="19"/>
                <w:szCs w:val="19"/>
              </w:rPr>
              <w:t xml:space="preserve">unmeasured</w:t>
            </w:r>
          </w:p>
        </w:tc>
        <w:tc>
          <w:tcPr>
            <w:tcW w:type="dxa" w:w="1948"/>
            <w:tcMar>
              <w:top w:type="dxa" w:w="80"/>
              <w:left w:type="dxa" w:w="120"/>
              <w:bottom w:type="dxa" w:w="80"/>
              <w:right w:type="dxa" w:w="120"/>
            </w:tcMar>
          </w:tcPr>
          <w:p>
            <w:r>
              <w:rPr>
                <w:rFonts w:ascii="Calibri" w:cs="Calibri" w:eastAsia="Calibri" w:hAnsi="Calibri"/>
                <w:color w:val="1A1A2E"/>
                <w:sz w:val="19"/>
                <w:szCs w:val="19"/>
              </w:rPr>
              <w:t xml:space="preserve">Confirmed: F-08</w:t>
            </w:r>
          </w:p>
        </w:tc>
      </w:tr>
      <w:tr>
        <w:trPr>
          <w:cantSplit/>
        </w:trPr>
        <w:tc>
          <w:tcPr>
            <w:tcW w:type="dxa" w:w="4000"/>
            <w:tcMar>
              <w:top w:type="dxa" w:w="80"/>
              <w:left w:type="dxa" w:w="120"/>
              <w:bottom w:type="dxa" w:w="80"/>
              <w:right w:type="dxa" w:w="120"/>
            </w:tcMar>
          </w:tcPr>
          <w:p>
            <w:r>
              <w:rPr>
                <w:rFonts w:ascii="Courier New" w:cs="Courier New" w:eastAsia="Courier New" w:hAnsi="Courier New"/>
                <w:color w:val="1A1A2E"/>
                <w:sz w:val="19"/>
                <w:szCs w:val="19"/>
              </w:rPr>
              <w:t xml:space="preserve">commit-inside-a-loop-splits-the-transaction</w:t>
            </w:r>
          </w:p>
        </w:tc>
        <w:tc>
          <w:tcPr>
            <w:tcW w:type="dxa" w:w="2250"/>
            <w:tcMar>
              <w:top w:type="dxa" w:w="80"/>
              <w:left w:type="dxa" w:w="120"/>
              <w:bottom w:type="dxa" w:w="80"/>
              <w:right w:type="dxa" w:w="120"/>
            </w:tcMar>
          </w:tcPr>
          <w:p>
            <w:r>
              <w:rPr>
                <w:rFonts w:ascii="Calibri" w:cs="Calibri" w:eastAsia="Calibri" w:hAnsi="Calibri"/>
                <w:color w:val="1A1A2E"/>
                <w:sz w:val="19"/>
                <w:szCs w:val="19"/>
              </w:rPr>
              <w:t xml:space="preserve">models/trade_account.py:39</w:t>
            </w:r>
          </w:p>
        </w:tc>
        <w:tc>
          <w:tcPr>
            <w:tcW w:type="dxa" w:w="1450"/>
            <w:tcMar>
              <w:top w:type="dxa" w:w="80"/>
              <w:left w:type="dxa" w:w="120"/>
              <w:bottom w:type="dxa" w:w="80"/>
              <w:right w:type="dxa" w:w="120"/>
            </w:tcMar>
          </w:tcPr>
          <w:p>
            <w:r>
              <w:rPr>
                <w:rFonts w:ascii="Calibri" w:cs="Calibri" w:eastAsia="Calibri" w:hAnsi="Calibri"/>
                <w:color w:val="1A1A2E"/>
                <w:sz w:val="19"/>
                <w:szCs w:val="19"/>
              </w:rPr>
              <w:t xml:space="preserve">unmeasured</w:t>
            </w:r>
          </w:p>
        </w:tc>
        <w:tc>
          <w:tcPr>
            <w:tcW w:type="dxa" w:w="1948"/>
            <w:tcMar>
              <w:top w:type="dxa" w:w="80"/>
              <w:left w:type="dxa" w:w="120"/>
              <w:bottom w:type="dxa" w:w="80"/>
              <w:right w:type="dxa" w:w="120"/>
            </w:tcMar>
          </w:tcPr>
          <w:p>
            <w:r>
              <w:rPr>
                <w:rFonts w:ascii="Calibri" w:cs="Calibri" w:eastAsia="Calibri" w:hAnsi="Calibri"/>
                <w:color w:val="1A1A2E"/>
                <w:sz w:val="19"/>
                <w:szCs w:val="19"/>
              </w:rPr>
              <w:t xml:space="preserve">Confirmed: F-05</w:t>
            </w:r>
          </w:p>
        </w:tc>
      </w:tr>
      <w:tr>
        <w:trPr>
          <w:cantSplit/>
        </w:trPr>
        <w:tc>
          <w:tcPr>
            <w:tcW w:type="dxa" w:w="4000"/>
            <w:tcMar>
              <w:top w:type="dxa" w:w="80"/>
              <w:left w:type="dxa" w:w="120"/>
              <w:bottom w:type="dxa" w:w="80"/>
              <w:right w:type="dxa" w:w="120"/>
            </w:tcMar>
          </w:tcPr>
          <w:p>
            <w:r>
              <w:rPr>
                <w:rFonts w:ascii="Courier New" w:cs="Courier New" w:eastAsia="Courier New" w:hAnsi="Courier New"/>
                <w:color w:val="1A1A2E"/>
                <w:sz w:val="19"/>
                <w:szCs w:val="19"/>
              </w:rPr>
              <w:t xml:space="preserve">sudo-bypasses-record-rules</w:t>
            </w:r>
          </w:p>
        </w:tc>
        <w:tc>
          <w:tcPr>
            <w:tcW w:type="dxa" w:w="2250"/>
            <w:tcMar>
              <w:top w:type="dxa" w:w="80"/>
              <w:left w:type="dxa" w:w="120"/>
              <w:bottom w:type="dxa" w:w="80"/>
              <w:right w:type="dxa" w:w="120"/>
            </w:tcMar>
          </w:tcPr>
          <w:p>
            <w:r>
              <w:rPr>
                <w:rFonts w:ascii="Calibri" w:cs="Calibri" w:eastAsia="Calibri" w:hAnsi="Calibri"/>
                <w:color w:val="1A1A2E"/>
                <w:sz w:val="19"/>
                <w:szCs w:val="19"/>
              </w:rPr>
              <w:t xml:space="preserve">controllers/statements.py:9</w:t>
            </w:r>
          </w:p>
        </w:tc>
        <w:tc>
          <w:tcPr>
            <w:tcW w:type="dxa" w:w="1450"/>
            <w:tcMar>
              <w:top w:type="dxa" w:w="80"/>
              <w:left w:type="dxa" w:w="120"/>
              <w:bottom w:type="dxa" w:w="80"/>
              <w:right w:type="dxa" w:w="120"/>
            </w:tcMar>
          </w:tcPr>
          <w:p>
            <w:r>
              <w:rPr>
                <w:rFonts w:ascii="Calibri" w:cs="Calibri" w:eastAsia="Calibri" w:hAnsi="Calibri"/>
                <w:color w:val="1A1A2E"/>
                <w:sz w:val="19"/>
                <w:szCs w:val="19"/>
              </w:rPr>
              <w:t xml:space="preserve">defect</w:t>
            </w:r>
          </w:p>
        </w:tc>
        <w:tc>
          <w:tcPr>
            <w:tcW w:type="dxa" w:w="1948"/>
            <w:tcMar>
              <w:top w:type="dxa" w:w="80"/>
              <w:left w:type="dxa" w:w="120"/>
              <w:bottom w:type="dxa" w:w="80"/>
              <w:right w:type="dxa" w:w="120"/>
            </w:tcMar>
          </w:tcPr>
          <w:p>
            <w:r>
              <w:rPr>
                <w:rFonts w:ascii="Calibri" w:cs="Calibri" w:eastAsia="Calibri" w:hAnsi="Calibri"/>
                <w:color w:val="1A1A2E"/>
                <w:sz w:val="19"/>
                <w:szCs w:val="19"/>
              </w:rPr>
              <w:t xml:space="preserve">Confirmed: F-06</w:t>
            </w:r>
          </w:p>
        </w:tc>
      </w:tr>
      <w:tr>
        <w:trPr>
          <w:cantSplit/>
        </w:trPr>
        <w:tc>
          <w:tcPr>
            <w:tcW w:type="dxa" w:w="4000"/>
            <w:tcMar>
              <w:top w:type="dxa" w:w="80"/>
              <w:left w:type="dxa" w:w="120"/>
              <w:bottom w:type="dxa" w:w="80"/>
              <w:right w:type="dxa" w:w="120"/>
            </w:tcMar>
          </w:tcPr>
          <w:p>
            <w:r>
              <w:rPr>
                <w:rFonts w:ascii="Courier New" w:cs="Courier New" w:eastAsia="Courier New" w:hAnsi="Courier New"/>
                <w:color w:val="1A1A2E"/>
                <w:sz w:val="19"/>
                <w:szCs w:val="19"/>
              </w:rPr>
              <w:t xml:space="preserve">noupdate-on-user-editable-data</w:t>
            </w:r>
          </w:p>
        </w:tc>
        <w:tc>
          <w:tcPr>
            <w:tcW w:type="dxa" w:w="2250"/>
            <w:tcMar>
              <w:top w:type="dxa" w:w="80"/>
              <w:left w:type="dxa" w:w="120"/>
              <w:bottom w:type="dxa" w:w="80"/>
              <w:right w:type="dxa" w:w="120"/>
            </w:tcMar>
          </w:tcPr>
          <w:p>
            <w:r>
              <w:rPr>
                <w:rFonts w:ascii="Calibri" w:cs="Calibri" w:eastAsia="Calibri" w:hAnsi="Calibri"/>
                <w:color w:val="1A1A2E"/>
                <w:sz w:val="19"/>
                <w:szCs w:val="19"/>
              </w:rPr>
              <w:t xml:space="preserve">data/trade_cron.xml:3</w:t>
            </w:r>
          </w:p>
        </w:tc>
        <w:tc>
          <w:tcPr>
            <w:tcW w:type="dxa" w:w="1450"/>
            <w:tcMar>
              <w:top w:type="dxa" w:w="80"/>
              <w:left w:type="dxa" w:w="120"/>
              <w:bottom w:type="dxa" w:w="80"/>
              <w:right w:type="dxa" w:w="120"/>
            </w:tcMar>
          </w:tcPr>
          <w:p>
            <w:r>
              <w:rPr>
                <w:rFonts w:ascii="Calibri" w:cs="Calibri" w:eastAsia="Calibri" w:hAnsi="Calibri"/>
                <w:color w:val="1A1A2E"/>
                <w:sz w:val="19"/>
                <w:szCs w:val="19"/>
              </w:rPr>
              <w:t xml:space="preserve">advisory</w:t>
            </w:r>
          </w:p>
        </w:tc>
        <w:tc>
          <w:tcPr>
            <w:tcW w:type="dxa" w:w="1948"/>
            <w:tcMar>
              <w:top w:type="dxa" w:w="80"/>
              <w:left w:type="dxa" w:w="120"/>
              <w:bottom w:type="dxa" w:w="80"/>
              <w:right w:type="dxa" w:w="120"/>
            </w:tcMar>
          </w:tcPr>
          <w:p>
            <w:r>
              <w:rPr>
                <w:rFonts w:ascii="Calibri" w:cs="Calibri" w:eastAsia="Calibri" w:hAnsi="Calibri"/>
                <w:color w:val="1A1A2E"/>
                <w:sz w:val="19"/>
                <w:szCs w:val="19"/>
              </w:rPr>
              <w:t xml:space="preserve">Confirmed: F-03</w:t>
            </w:r>
          </w:p>
        </w:tc>
      </w:tr>
      <w:tr>
        <w:trPr>
          <w:cantSplit/>
        </w:trPr>
        <w:tc>
          <w:tcPr>
            <w:tcW w:type="dxa" w:w="4000"/>
            <w:tcMar>
              <w:top w:type="dxa" w:w="80"/>
              <w:left w:type="dxa" w:w="120"/>
              <w:bottom w:type="dxa" w:w="80"/>
              <w:right w:type="dxa" w:w="120"/>
            </w:tcMar>
          </w:tcPr>
          <w:p>
            <w:r>
              <w:rPr>
                <w:rFonts w:ascii="Courier New" w:cs="Courier New" w:eastAsia="Courier New" w:hAnsi="Courier New"/>
                <w:color w:val="1A1A2E"/>
                <w:sz w:val="19"/>
                <w:szCs w:val="19"/>
              </w:rPr>
              <w:t xml:space="preserve">noupdate-on-user-editable-data</w:t>
            </w:r>
          </w:p>
        </w:tc>
        <w:tc>
          <w:tcPr>
            <w:tcW w:type="dxa" w:w="2250"/>
            <w:tcMar>
              <w:top w:type="dxa" w:w="80"/>
              <w:left w:type="dxa" w:w="120"/>
              <w:bottom w:type="dxa" w:w="80"/>
              <w:right w:type="dxa" w:w="120"/>
            </w:tcMar>
          </w:tcPr>
          <w:p>
            <w:r>
              <w:rPr>
                <w:rFonts w:ascii="Calibri" w:cs="Calibri" w:eastAsia="Calibri" w:hAnsi="Calibri"/>
                <w:color w:val="1A1A2E"/>
                <w:sz w:val="19"/>
                <w:szCs w:val="19"/>
              </w:rPr>
              <w:t xml:space="preserve">data/trade_settings.xml:3</w:t>
            </w:r>
          </w:p>
        </w:tc>
        <w:tc>
          <w:tcPr>
            <w:tcW w:type="dxa" w:w="1450"/>
            <w:tcMar>
              <w:top w:type="dxa" w:w="80"/>
              <w:left w:type="dxa" w:w="120"/>
              <w:bottom w:type="dxa" w:w="80"/>
              <w:right w:type="dxa" w:w="120"/>
            </w:tcMar>
          </w:tcPr>
          <w:p>
            <w:r>
              <w:rPr>
                <w:rFonts w:ascii="Calibri" w:cs="Calibri" w:eastAsia="Calibri" w:hAnsi="Calibri"/>
                <w:color w:val="1A1A2E"/>
                <w:sz w:val="19"/>
                <w:szCs w:val="19"/>
              </w:rPr>
              <w:t xml:space="preserve">advisory</w:t>
            </w:r>
          </w:p>
        </w:tc>
        <w:tc>
          <w:tcPr>
            <w:tcW w:type="dxa" w:w="1948"/>
            <w:tcMar>
              <w:top w:type="dxa" w:w="80"/>
              <w:left w:type="dxa" w:w="120"/>
              <w:bottom w:type="dxa" w:w="80"/>
              <w:right w:type="dxa" w:w="120"/>
            </w:tcMar>
          </w:tcPr>
          <w:p>
            <w:r>
              <w:rPr>
                <w:rFonts w:ascii="Calibri" w:cs="Calibri" w:eastAsia="Calibri" w:hAnsi="Calibri"/>
                <w:color w:val="1A1A2E"/>
                <w:sz w:val="19"/>
                <w:szCs w:val="19"/>
              </w:rPr>
              <w:t xml:space="preserve">Confirmed: F-04</w:t>
            </w:r>
          </w:p>
        </w:tc>
      </w:tr>
    </w:tbl>
    <w:p>
      <w:pPr>
        <w:spacing w:after="280" w:before="140"/>
      </w:pPr>
      <w:r>
        <w:rPr>
          <w:rFonts w:ascii="Calibri" w:cs="Calibri" w:eastAsia="Calibri" w:hAnsi="Calibri"/>
          <w:i/>
          <w:iCs/>
          <w:color w:val="595959"/>
          <w:sz w:val="19"/>
          <w:szCs w:val="19"/>
        </w:rPr>
        <w:t xml:space="preserve">Found by reading, with no scan finding: F-01 and F-07. Nexa learned both checks the same day, so a scan today flags them too.</w:t>
      </w:r>
    </w:p>
    <w:p>
      <w:pPr>
        <w:spacing w:after="60" w:before="200"/>
      </w:pPr>
      <w:r>
        <w:rPr>
          <w:rFonts w:ascii="Calibri" w:cs="Calibri" w:eastAsia="Calibri" w:hAnsi="Calibri"/>
          <w:b/>
          <w:bCs/>
          <w:color w:val="E07B00"/>
          <w:sz w:val="21"/>
          <w:szCs w:val="21"/>
        </w:rPr>
        <w:t xml:space="preserve">Start a conversation: dobybaxter127.gitlab.io/contact</w:t>
      </w:r>
    </w:p>
    <w:p>
      <w:pPr>
        <w:spacing w:after="140" w:line="276"/>
      </w:pPr>
      <w:r>
        <w:rPr>
          <w:rFonts w:ascii="Calibri" w:cs="Calibri" w:eastAsia="Calibri" w:hAnsi="Calibri"/>
          <w:color w:val="595959"/>
          <w:sz w:val="18"/>
          <w:szCs w:val="18"/>
        </w:rPr>
        <w:t xml:space="preserve">Doby Baxter Computing · fixed-price, read-only reliability reviews for small businesses.</w:t>
      </w:r>
    </w:p>
    <w:sectPr>
      <w:pgSz w:w="12240" w:h="15840" w:orient="portrait"/>
      <w:pgMar w:top="1152" w:right="1296" w:bottom="1152" w:left="1296"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2E"/>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Odoo Reliability Review · Sample Findings Report</dc:title>
  <dc:creator>Doby Baxter Computing</dc:creator>
  <cp:lastModifiedBy>Un-named</cp:lastModifiedBy>
  <cp:revision>1</cp:revision>
  <dcterms:created xsi:type="dcterms:W3CDTF">2026-09-27T13:49:21.384Z</dcterms:created>
  <dcterms:modified xsi:type="dcterms:W3CDTF">2026-09-27T13:49:21.385Z</dcterms:modified>
</cp:coreProperties>
</file>

<file path=docProps/custom.xml><?xml version="1.0" encoding="utf-8"?>
<Properties xmlns="http://schemas.openxmlformats.org/officeDocument/2006/custom-properties" xmlns:vt="http://schemas.openxmlformats.org/officeDocument/2006/docPropsVTypes"/>
</file>