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before="0"/>
      </w:pPr>
      <w:r>
        <w:rPr>
          <w:rFonts w:ascii="Calibri" w:hAnsi="Calibri"/>
          <w:b/>
          <w:i w:val="0"/>
          <w:color w:val="E07B00"/>
          <w:sz w:val="18"/>
        </w:rPr>
        <w:t>DOBY BAXTER COMPUTING</w:t>
      </w:r>
    </w:p>
    <w:p>
      <w:pPr>
        <w:spacing w:after="40" w:before="0"/>
      </w:pPr>
      <w:r>
        <w:rPr>
          <w:rFonts w:ascii="Calibri" w:hAnsi="Calibri"/>
          <w:b/>
          <w:i w:val="0"/>
          <w:color w:val="1A1A2E"/>
          <w:sz w:val="40"/>
        </w:rPr>
        <w:t>Reliability &amp; Validation</w:t>
      </w:r>
    </w:p>
    <w:p>
      <w:pPr>
        <w:spacing w:after="40" w:before="0"/>
      </w:pPr>
      <w:r>
        <w:rPr>
          <w:rFonts w:ascii="Calibri" w:hAnsi="Calibri"/>
          <w:b w:val="0"/>
          <w:i w:val="0"/>
          <w:color w:val="595959"/>
          <w:sz w:val="24"/>
        </w:rPr>
        <w:t>bespoke reliability engagements</w:t>
      </w:r>
    </w:p>
    <w:p>
      <w:pPr>
        <w:spacing w:after="160" w:before="0"/>
      </w:pPr>
      <w:r>
        <w:rPr>
          <w:rFonts w:ascii="Calibri" w:hAnsi="Calibri"/>
          <w:b w:val="0"/>
          <w:i/>
          <w:color w:val="595959"/>
          <w:sz w:val="22"/>
        </w:rPr>
        <w:t>Predictable, observable, and hard to misconfigure.</w:t>
      </w:r>
    </w:p>
    <w:p>
      <w:pPr>
        <w:spacing w:after="160" w:before="0"/>
      </w:pPr>
      <w:r>
        <w:rPr>
          <w:rFonts w:ascii="Calibri" w:hAnsi="Calibri"/>
          <w:b w:val="0"/>
          <w:i w:val="0"/>
          <w:color w:val="1A1A2E"/>
          <w:sz w:val="21"/>
        </w:rPr>
        <w:t>A scoped, outcome-based engagement that finds where your configuration, pipelines, and integrations can fail silently, and gives you the guardrails that stop them recurring. You choose the level of access you're comfortable with.</w:t>
      </w:r>
    </w:p>
    <w:p>
      <w:pPr>
        <w:spacing w:after="80" w:before="240"/>
      </w:pPr>
      <w:r>
        <w:rPr>
          <w:rFonts w:ascii="Calibri" w:hAnsi="Calibri"/>
          <w:b/>
          <w:i w:val="0"/>
          <w:color w:val="1A1A2E"/>
          <w:sz w:val="28"/>
        </w:rPr>
        <w:t>Who this is for</w:t>
      </w:r>
    </w:p>
    <w:p>
      <w:pPr>
        <w:spacing w:after="160" w:before="40"/>
        <w:pBdr>
          <w:bottom w:val="single" w:sz="6" w:space="1" w:color="E07B00"/>
        </w:pBdr>
      </w:pPr>
    </w:p>
    <w:p>
      <w:pPr>
        <w:spacing w:after="120" w:before="0"/>
      </w:pPr>
      <w:r>
        <w:rPr>
          <w:rFonts w:ascii="Calibri" w:hAnsi="Calibri"/>
          <w:b w:val="0"/>
          <w:i w:val="0"/>
          <w:color w:val="1A1A2E"/>
          <w:sz w:val="21"/>
        </w:rPr>
        <w:t>Teams running systems where a quiet misconfiguration becomes an outage, a compliance gap, or an incident: cloud and identity estates, AI/LLM workflows, config-driven services, and scientific or data pipelines.</w:t>
      </w:r>
    </w:p>
    <w:p>
      <w:pPr>
        <w:spacing w:after="80" w:before="240"/>
      </w:pPr>
      <w:r>
        <w:rPr>
          <w:rFonts w:ascii="Calibri" w:hAnsi="Calibri"/>
          <w:b/>
          <w:i w:val="0"/>
          <w:color w:val="1A1A2E"/>
          <w:sz w:val="28"/>
        </w:rPr>
        <w:t>Two tiers — you choose the access level</w:t>
      </w:r>
    </w:p>
    <w:p>
      <w:pPr>
        <w:spacing w:after="160" w:before="40"/>
        <w:pBdr>
          <w:bottom w:val="single" w:sz="6" w:space="1" w:color="E07B00"/>
        </w:pBdr>
      </w:pPr>
    </w:p>
    <w:tbl>
      <w:tblPr>
        <w:tblStyle w:val="TableGrid"/>
        <w:tblW w:type="auto" w:w="0"/>
        <w:jc w:val="center"/>
        <w:tblLook w:firstColumn="1" w:firstRow="1" w:lastColumn="0" w:lastRow="0" w:noHBand="0" w:noVBand="1" w:val="04A0"/>
      </w:tblPr>
      <w:tblGrid>
        <w:gridCol w:w="4824"/>
        <w:gridCol w:w="4824"/>
      </w:tblGrid>
      <w:tr>
        <w:tc>
          <w:tcPr>
            <w:tcW w:type="dxa" w:w="4824"/>
            <w:shd w:val="clear" w:color="auto" w:fill="1A1A2E"/>
          </w:tcPr>
          <w:p>
            <w:r>
              <w:rPr>
                <w:rFonts w:ascii="Calibri" w:hAnsi="Calibri"/>
                <w:b/>
                <w:color w:val="FFFFFF"/>
                <w:sz w:val="20"/>
              </w:rPr>
              <w:t>Reliability Review  ·  read-only</w:t>
            </w:r>
          </w:p>
        </w:tc>
        <w:tc>
          <w:tcPr>
            <w:tcW w:type="dxa" w:w="4824"/>
            <w:shd w:val="clear" w:color="auto" w:fill="1A1A2E"/>
          </w:tcPr>
          <w:p>
            <w:r>
              <w:rPr>
                <w:rFonts w:ascii="Calibri" w:hAnsi="Calibri"/>
                <w:b/>
                <w:color w:val="FFFFFF"/>
                <w:sz w:val="20"/>
              </w:rPr>
              <w:t>Validation &amp; Fault Testing  ·  hands-on</w:t>
            </w:r>
          </w:p>
        </w:tc>
      </w:tr>
      <w:tr>
        <w:tc>
          <w:tcPr>
            <w:tcW w:type="dxa" w:w="4824"/>
          </w:tcPr>
          <w:p>
            <w:r>
              <w:rPr>
                <w:rFonts w:ascii="Calibri" w:hAnsi="Calibri"/>
                <w:color w:val="1A1A2E"/>
                <w:sz w:val="19"/>
              </w:rPr>
              <w:t>I read your configuration, pipelines, and architecture and report exactly where they will fail silently. You get prioritized findings and the guardrail specs for your own engineers to implement. Nothing in your system is touched or changed. The right starting point if you want to know your weak spots without anyone going near production.</w:t>
            </w:r>
          </w:p>
        </w:tc>
        <w:tc>
          <w:tcPr>
            <w:tcW w:type="dxa" w:w="4824"/>
          </w:tcPr>
          <w:p>
            <w:r>
              <w:rPr>
                <w:rFonts w:ascii="Calibri" w:hAnsi="Calibri"/>
                <w:color w:val="1A1A2E"/>
                <w:sz w:val="19"/>
              </w:rPr>
              <w:t>Everything in the Reliability Review, plus the part most reviews skip: in an environment you nominate, and only ever with your written sign-off, I deliberately misconfigure your system to confirm it fails loudly rather than silently. It proves your safeguards actually fire instead of assuming they do. Your production environment is never the test bench.</w:t>
            </w:r>
          </w:p>
        </w:tc>
      </w:tr>
    </w:tbl>
    <w:p>
      <w:pPr>
        <w:spacing w:after="120" w:before="0"/>
      </w:pPr>
    </w:p>
    <w:p>
      <w:pPr>
        <w:spacing w:after="120" w:before="0"/>
      </w:pPr>
      <w:r>
        <w:rPr>
          <w:rFonts w:ascii="Calibri" w:hAnsi="Calibri"/>
          <w:b w:val="0"/>
          <w:i/>
          <w:color w:val="595959"/>
          <w:sz w:val="19"/>
        </w:rPr>
        <w:t>Not sure which fits? Start with a Reliability Review — it stands on its own, and its findings feed straight into a Validation engagement later if you want to prove the fixes hold.</w:t>
      </w:r>
    </w:p>
    <w:p>
      <w:pPr>
        <w:spacing w:after="80" w:before="240"/>
      </w:pPr>
      <w:r>
        <w:rPr>
          <w:rFonts w:ascii="Calibri" w:hAnsi="Calibri"/>
          <w:b/>
          <w:i w:val="0"/>
          <w:color w:val="1A1A2E"/>
          <w:sz w:val="28"/>
        </w:rPr>
        <w:t>What you get</w:t>
      </w:r>
    </w:p>
    <w:p>
      <w:pPr>
        <w:spacing w:after="160" w:before="40"/>
        <w:pBdr>
          <w:bottom w:val="single" w:sz="6" w:space="1" w:color="E07B00"/>
        </w:pBdr>
      </w:pPr>
    </w:p>
    <w:p>
      <w:pPr>
        <w:pStyle w:val="ListBullet"/>
        <w:spacing w:after="60"/>
      </w:pPr>
      <w:r>
        <w:rPr>
          <w:rFonts w:ascii="Calibri" w:hAnsi="Calibri"/>
          <w:b/>
          <w:color w:val="1A1A2E"/>
          <w:sz w:val="21"/>
        </w:rPr>
        <w:t xml:space="preserve">Configuration &amp; drift review — </w:t>
      </w:r>
      <w:r>
        <w:rPr>
          <w:rFonts w:ascii="Calibri" w:hAnsi="Calibri"/>
          <w:color w:val="1A1A2E"/>
          <w:sz w:val="21"/>
        </w:rPr>
        <w:t>a schema-driven pass over your config and every environment, surfacing the gap between what the system is meant to do and what it actually does.</w:t>
      </w:r>
    </w:p>
    <w:p>
      <w:pPr>
        <w:pStyle w:val="ListBullet"/>
        <w:spacing w:after="60"/>
      </w:pPr>
      <w:r>
        <w:rPr>
          <w:rFonts w:ascii="Calibri" w:hAnsi="Calibri"/>
          <w:b/>
          <w:color w:val="1A1A2E"/>
          <w:sz w:val="21"/>
        </w:rPr>
        <w:t xml:space="preserve">Prioritized findings — </w:t>
      </w:r>
      <w:r>
        <w:rPr>
          <w:rFonts w:ascii="Calibri" w:hAnsi="Calibri"/>
          <w:color w:val="1A1A2E"/>
          <w:sz w:val="21"/>
        </w:rPr>
        <w:t>issues ranked by severity, likelihood, and blast radius, so you can triage instead of drown.</w:t>
      </w:r>
    </w:p>
    <w:p>
      <w:pPr>
        <w:pStyle w:val="ListBullet"/>
        <w:spacing w:after="60"/>
      </w:pPr>
      <w:r>
        <w:rPr>
          <w:rFonts w:ascii="Calibri" w:hAnsi="Calibri"/>
          <w:b/>
          <w:color w:val="1A1A2E"/>
          <w:sz w:val="21"/>
        </w:rPr>
        <w:t xml:space="preserve">Hardening &amp; guardrails — </w:t>
      </w:r>
      <w:r>
        <w:rPr>
          <w:rFonts w:ascii="Calibri" w:hAnsi="Calibri"/>
          <w:color w:val="1A1A2E"/>
          <w:sz w:val="21"/>
        </w:rPr>
        <w:t>a specification for the validation layers, CI checks, and config gates your engineers put in place, so the same class of failure can't be reintroduced.</w:t>
      </w:r>
    </w:p>
    <w:p>
      <w:pPr>
        <w:pStyle w:val="ListBullet"/>
        <w:spacing w:after="60"/>
      </w:pPr>
      <w:r>
        <w:rPr>
          <w:rFonts w:ascii="Calibri" w:hAnsi="Calibri"/>
          <w:b/>
          <w:color w:val="1A1A2E"/>
          <w:sz w:val="21"/>
        </w:rPr>
        <w:t xml:space="preserve">Handover pack — </w:t>
      </w:r>
      <w:r>
        <w:rPr>
          <w:rFonts w:ascii="Calibri" w:hAnsi="Calibri"/>
          <w:color w:val="1A1A2E"/>
          <w:sz w:val="21"/>
        </w:rPr>
        <w:t>runbooks, documentation, and validation tooling ready for your engineers to install, so the checks keep running after handover.</w:t>
      </w:r>
    </w:p>
    <w:p>
      <w:pPr>
        <w:pStyle w:val="ListBullet"/>
        <w:spacing w:after="60"/>
      </w:pPr>
      <w:r>
        <w:rPr>
          <w:rFonts w:ascii="Calibri" w:hAnsi="Calibri"/>
          <w:b/>
          <w:color w:val="1A1A2E"/>
          <w:sz w:val="21"/>
        </w:rPr>
        <w:t xml:space="preserve">Fault-injection (Validation tier only) — </w:t>
      </w:r>
      <w:r>
        <w:rPr>
          <w:rFonts w:ascii="Calibri" w:hAnsi="Calibri"/>
          <w:color w:val="1A1A2E"/>
          <w:sz w:val="21"/>
        </w:rPr>
        <w:t>deliberate misconfiguration in an environment you nominate, with written sign-off, confirming the system fails loudly rather than silently. Never against production.</w:t>
      </w:r>
    </w:p>
    <w:p>
      <w:pPr>
        <w:spacing w:after="80" w:before="240"/>
      </w:pPr>
      <w:r>
        <w:rPr>
          <w:rFonts w:ascii="Calibri" w:hAnsi="Calibri"/>
          <w:b/>
          <w:i w:val="0"/>
          <w:color w:val="1A1A2E"/>
          <w:sz w:val="28"/>
        </w:rPr>
        <w:t>How engagements run</w:t>
      </w:r>
    </w:p>
    <w:p>
      <w:pPr>
        <w:spacing w:after="160" w:before="40"/>
        <w:pBdr>
          <w:bottom w:val="single" w:sz="6" w:space="1" w:color="E07B00"/>
        </w:pBdr>
      </w:pPr>
    </w:p>
    <w:p>
      <w:pPr>
        <w:spacing w:after="120" w:before="0"/>
      </w:pPr>
      <w:r>
        <w:rPr>
          <w:rFonts w:ascii="Calibri" w:hAnsi="Calibri"/>
          <w:b w:val="0"/>
          <w:i w:val="0"/>
          <w:color w:val="1A1A2E"/>
          <w:sz w:val="21"/>
        </w:rPr>
        <w:t>Every engagement follows the same five stages, each with a concrete deliverable. A Reliability Review runs the read-only stages; a Validation engagement adds stage 3. You can commission the full engagement or start with a single stage.</w:t>
      </w:r>
    </w:p>
    <w:p>
      <w:pPr>
        <w:pStyle w:val="ListBullet"/>
        <w:spacing w:after="60"/>
      </w:pPr>
      <w:r>
        <w:rPr>
          <w:rFonts w:ascii="Calibri" w:hAnsi="Calibri"/>
          <w:b/>
          <w:color w:val="1A1A2E"/>
          <w:sz w:val="21"/>
        </w:rPr>
        <w:t xml:space="preserve">1 · Scope — </w:t>
      </w:r>
      <w:r>
        <w:rPr>
          <w:rFonts w:ascii="Calibri" w:hAnsi="Calibri"/>
          <w:color w:val="1A1A2E"/>
          <w:sz w:val="21"/>
        </w:rPr>
        <w:t>we agree the tier, the concrete outcome, which systems and environments are in scope, and what's explicitly out. You get a fixed quote before any work starts.</w:t>
      </w:r>
    </w:p>
    <w:p>
      <w:pPr>
        <w:pStyle w:val="ListBullet"/>
        <w:spacing w:after="60"/>
      </w:pPr>
      <w:r>
        <w:rPr>
          <w:rFonts w:ascii="Calibri" w:hAnsi="Calibri"/>
          <w:b/>
          <w:color w:val="1A1A2E"/>
          <w:sz w:val="21"/>
        </w:rPr>
        <w:t xml:space="preserve">2 · Review — </w:t>
      </w:r>
      <w:r>
        <w:rPr>
          <w:rFonts w:ascii="Calibri" w:hAnsi="Calibri"/>
          <w:color w:val="1A1A2E"/>
          <w:sz w:val="21"/>
        </w:rPr>
        <w:t>discovery, baseline, and assessment — a schema-driven, read-only pass over your config, pipelines, and architecture, surfacing where they will fail silently. This is the whole of a Reliability Review.</w:t>
      </w:r>
    </w:p>
    <w:p>
      <w:pPr>
        <w:pStyle w:val="ListBullet"/>
        <w:spacing w:after="60"/>
      </w:pPr>
      <w:r>
        <w:rPr>
          <w:rFonts w:ascii="Calibri" w:hAnsi="Calibri"/>
          <w:b/>
          <w:color w:val="1A1A2E"/>
          <w:sz w:val="21"/>
        </w:rPr>
        <w:t xml:space="preserve">3 · Validation (hands-on tier only) — </w:t>
      </w:r>
      <w:r>
        <w:rPr>
          <w:rFonts w:ascii="Calibri" w:hAnsi="Calibri"/>
          <w:color w:val="1A1A2E"/>
          <w:sz w:val="21"/>
        </w:rPr>
        <w:t>in an environment you nominate, with written sign-off, I deliberately misconfigure the system to confirm it fails loudly rather than silently. Never against production. This stage runs on the Validation tier only.</w:t>
      </w:r>
    </w:p>
    <w:p>
      <w:pPr>
        <w:pStyle w:val="ListBullet"/>
        <w:spacing w:after="60"/>
      </w:pPr>
      <w:r>
        <w:rPr>
          <w:rFonts w:ascii="Calibri" w:hAnsi="Calibri"/>
          <w:b/>
          <w:color w:val="1A1A2E"/>
          <w:sz w:val="21"/>
        </w:rPr>
        <w:t xml:space="preserve">4 · Findings — </w:t>
      </w:r>
      <w:r>
        <w:rPr>
          <w:rFonts w:ascii="Calibri" w:hAnsi="Calibri"/>
          <w:color w:val="1A1A2E"/>
          <w:sz w:val="21"/>
        </w:rPr>
        <w:t>a prioritized findings report — every issue ranked by severity, likelihood, and blast radius — paired with a remediation plan your engineers can act on.</w:t>
      </w:r>
    </w:p>
    <w:p>
      <w:pPr>
        <w:pStyle w:val="ListBullet"/>
        <w:spacing w:after="60"/>
      </w:pPr>
      <w:r>
        <w:rPr>
          <w:rFonts w:ascii="Calibri" w:hAnsi="Calibri"/>
          <w:b/>
          <w:color w:val="1A1A2E"/>
          <w:sz w:val="21"/>
        </w:rPr>
        <w:t xml:space="preserve">5 · Handover — </w:t>
      </w:r>
      <w:r>
        <w:rPr>
          <w:rFonts w:ascii="Calibri" w:hAnsi="Calibri"/>
          <w:color w:val="1A1A2E"/>
          <w:sz w:val="21"/>
        </w:rPr>
        <w:t>the validation layers, CI checks, and reproduction steps land as a handover pack, with verification that the guardrails hold and an optional retainer to keep them current.</w:t>
      </w:r>
    </w:p>
    <w:p>
      <w:pPr>
        <w:spacing w:after="80" w:before="240"/>
      </w:pPr>
      <w:r>
        <w:rPr>
          <w:rFonts w:ascii="Calibri" w:hAnsi="Calibri"/>
          <w:b/>
          <w:i w:val="0"/>
          <w:color w:val="1A1A2E"/>
          <w:sz w:val="28"/>
        </w:rPr>
        <w:t>The signature difference</w:t>
      </w:r>
    </w:p>
    <w:p>
      <w:pPr>
        <w:spacing w:after="160" w:before="40"/>
        <w:pBdr>
          <w:bottom w:val="single" w:sz="6" w:space="1" w:color="E07B00"/>
        </w:pBdr>
      </w:pPr>
    </w:p>
    <w:p>
      <w:pPr>
        <w:spacing w:after="80" w:before="0"/>
      </w:pPr>
      <w:r>
        <w:rPr>
          <w:rFonts w:ascii="Calibri" w:hAnsi="Calibri"/>
          <w:b/>
          <w:i w:val="0"/>
          <w:color w:val="1A1A2E"/>
          <w:sz w:val="21"/>
        </w:rPr>
        <w:t>Most reviews read your configuration. The Validation tier tries to break it.</w:t>
      </w:r>
    </w:p>
    <w:p>
      <w:pPr>
        <w:spacing w:after="120" w:before="0"/>
      </w:pPr>
      <w:r>
        <w:rPr>
          <w:rFonts w:ascii="Calibri" w:hAnsi="Calibri"/>
          <w:b w:val="0"/>
          <w:i w:val="0"/>
          <w:color w:val="1A1A2E"/>
          <w:sz w:val="21"/>
        </w:rPr>
        <w:t>Fault-injection proves your safeguards actually trigger — the difference between assuming a system is safe and knowing it screams when something is wrong. It's an opt-in, consented step, run in an environment you choose, never on production.</w:t>
      </w:r>
    </w:p>
    <w:p>
      <w:pPr>
        <w:spacing w:after="80" w:before="240"/>
      </w:pPr>
      <w:r>
        <w:rPr>
          <w:rFonts w:ascii="Calibri" w:hAnsi="Calibri"/>
          <w:b/>
          <w:i w:val="0"/>
          <w:color w:val="1A1A2E"/>
          <w:sz w:val="28"/>
        </w:rPr>
        <w:t>Data handling</w:t>
      </w:r>
    </w:p>
    <w:p>
      <w:pPr>
        <w:spacing w:after="160" w:before="40"/>
        <w:pBdr>
          <w:bottom w:val="single" w:sz="6" w:space="1" w:color="E07B00"/>
        </w:pBdr>
      </w:pPr>
    </w:p>
    <w:p>
      <w:pPr>
        <w:spacing w:after="120" w:before="0"/>
      </w:pPr>
      <w:r>
        <w:rPr>
          <w:rFonts w:ascii="Calibri" w:hAnsi="Calibri"/>
          <w:b w:val="0"/>
          <w:i w:val="0"/>
          <w:color w:val="1A1A2E"/>
          <w:sz w:val="21"/>
        </w:rPr>
        <w:t>Engagements can run entirely inside your estate. For sensitive or forensic work, your telemetry never has to leave your environment. Everything is agreed over email and in writing before any work begins.</w:t>
      </w:r>
    </w:p>
    <w:p>
      <w:pPr>
        <w:spacing w:after="120" w:before="160"/>
      </w:pPr>
    </w:p>
    <w:p>
      <w:pPr>
        <w:spacing w:after="160" w:before="40"/>
        <w:pBdr>
          <w:bottom w:val="single" w:sz="6" w:space="1" w:color="E07B00"/>
        </w:pBdr>
      </w:pPr>
    </w:p>
    <w:p>
      <w:pPr>
        <w:spacing w:after="40"/>
        <w:jc w:val="center"/>
      </w:pPr>
      <w:r>
        <w:rPr>
          <w:rFonts w:ascii="Calibri" w:hAnsi="Calibri"/>
          <w:b/>
          <w:color w:val="E07B00"/>
          <w:sz w:val="20"/>
        </w:rPr>
        <w:t>Start a conversation: dobybaxter127.gitlab.io/contact</w:t>
      </w:r>
    </w:p>
    <w:p>
      <w:pPr>
        <w:spacing w:after="0"/>
        <w:jc w:val="center"/>
      </w:pPr>
      <w:r>
        <w:rPr>
          <w:rFonts w:ascii="Calibri" w:hAnsi="Calibri"/>
          <w:color w:val="595959"/>
          <w:sz w:val="18"/>
        </w:rPr>
        <w:t>Doby Baxter Computing · reliability engineering, AI-workflow tooling, and forensic reconstruction.</w:t>
      </w:r>
    </w:p>
    <w:sectPr w:rsidR="00FC693F" w:rsidRPr="0006063C" w:rsidSect="00034616">
      <w:pgSz w:w="12240" w:h="15840"/>
      <w:pgMar w:top="1152" w:right="1296" w:bottom="1152"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color w:val="1A1A2E"/>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